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)阶段审核□再认证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二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0" w:name="组织名称"/>
            <w:r>
              <w:rPr>
                <w:rFonts w:hint="eastAsia" w:ascii="方正仿宋简体" w:eastAsia="方正仿宋简体"/>
                <w:b/>
              </w:rPr>
              <w:t>成都宏强科技有限公司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1" w:name="联系人"/>
            <w:r>
              <w:rPr>
                <w:rFonts w:hint="eastAsia" w:ascii="方正仿宋简体" w:eastAsia="方正仿宋简体"/>
                <w:b/>
              </w:rPr>
              <w:t>李侯隆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维修部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查在用检具，提供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游标卡尺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>、百分表、交直流钳形表和绝缘电阻表的有效校准证书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已失效，不符合</w:t>
            </w:r>
            <w:r>
              <w:rPr>
                <w:rFonts w:hint="eastAsia" w:ascii="方正仿宋简体" w:eastAsia="方正仿宋简体"/>
                <w:b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7.1.5</w:t>
            </w:r>
            <w:r>
              <w:rPr>
                <w:rFonts w:hint="eastAsia" w:ascii="方正仿宋简体" w:eastAsia="方正仿宋简体"/>
                <w:b/>
              </w:rPr>
              <w:t xml:space="preserve">  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B75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2022-04-01T04:04:25Z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