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0226-2020-EO-2022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成都宏强科技有限公司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成都宏强科技有限公司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四川省成都市锦江区一环路东五段46号“金辉商住楼（天紫界）”项目1幢1单元5层12号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成都市青白江区双华巷华逸路586号</w:t>
            </w:r>
            <w:bookmarkEnd w:id="8"/>
          </w:p>
        </w:tc>
        <w:tc>
          <w:tcPr>
            <w:tcW w:w="1242" w:type="dxa"/>
            <w:vMerge w:val="continue"/>
            <w:vAlign w:val="center"/>
          </w:tcPr>
          <w:p/>
        </w:tc>
        <w:tc>
          <w:tcPr>
            <w:tcW w:w="1771" w:type="dxa"/>
          </w:tcPr>
          <w:p>
            <w:bookmarkStart w:id="9" w:name="办公邮编"/>
            <w:r>
              <w:t>610030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李侯隆</w:t>
            </w:r>
            <w:bookmarkEnd w:id="10"/>
          </w:p>
        </w:tc>
        <w:tc>
          <w:tcPr>
            <w:tcW w:w="1313" w:type="dxa"/>
            <w:vAlign w:val="center"/>
          </w:tcPr>
          <w:p>
            <w:r>
              <w:rPr>
                <w:rFonts w:hint="eastAsia"/>
              </w:rPr>
              <w:t>电话.</w:t>
            </w:r>
          </w:p>
        </w:tc>
        <w:tc>
          <w:tcPr>
            <w:tcW w:w="2180" w:type="dxa"/>
            <w:vAlign w:val="center"/>
          </w:tcPr>
          <w:p>
            <w:bookmarkStart w:id="11" w:name="联系人电话"/>
            <w:r>
              <w:t>18708105840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李侯隆</w:t>
            </w:r>
            <w:bookmarkEnd w:id="13"/>
          </w:p>
        </w:tc>
        <w:tc>
          <w:tcPr>
            <w:tcW w:w="1313" w:type="dxa"/>
            <w:vAlign w:val="center"/>
          </w:tcPr>
          <w:p>
            <w:r>
              <w:rPr>
                <w:rFonts w:hint="eastAsia"/>
              </w:rPr>
              <w:t>管理者代表</w:t>
            </w:r>
          </w:p>
        </w:tc>
        <w:tc>
          <w:tcPr>
            <w:tcW w:w="2180" w:type="dxa"/>
          </w:tcPr>
          <w:p>
            <w:bookmarkStart w:id="14" w:name="管理者代表"/>
            <w:r>
              <w:t>胡帅君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ascii="宋体" w:hAnsi="宋体"/>
                <w:sz w:val="21"/>
                <w:szCs w:val="21"/>
              </w:rPr>
            </w:pPr>
            <w:r>
              <w:rPr>
                <w:rFonts w:hint="eastAsia" w:ascii="宋体" w:hAnsi="宋体"/>
                <w:sz w:val="21"/>
                <w:szCs w:val="21"/>
              </w:rPr>
              <w:t>维修服务流程：</w:t>
            </w:r>
          </w:p>
          <w:p>
            <w:pPr>
              <w:rPr>
                <w:rFonts w:ascii="宋体" w:hAnsi="宋体"/>
                <w:sz w:val="21"/>
                <w:szCs w:val="21"/>
              </w:rPr>
            </w:pPr>
            <w:r>
              <w:rPr>
                <w:rFonts w:hint="eastAsia" w:ascii="宋体" w:hAnsi="宋体"/>
                <w:sz w:val="21"/>
                <w:szCs w:val="21"/>
              </w:rPr>
              <w:t>签订合同</w:t>
            </w:r>
            <w:r>
              <w:rPr>
                <w:rFonts w:ascii="宋体" w:hAnsi="宋体"/>
                <w:sz w:val="21"/>
                <w:szCs w:val="21"/>
              </w:rPr>
              <w:t>——</w:t>
            </w:r>
            <w:r>
              <w:rPr>
                <w:rFonts w:hint="eastAsia" w:ascii="宋体" w:hAnsi="宋体"/>
                <w:sz w:val="21"/>
                <w:szCs w:val="21"/>
              </w:rPr>
              <w:t>故障检查</w:t>
            </w:r>
            <w:r>
              <w:rPr>
                <w:rFonts w:ascii="宋体" w:hAnsi="宋体"/>
                <w:sz w:val="21"/>
                <w:szCs w:val="21"/>
              </w:rPr>
              <w:t>——</w:t>
            </w:r>
            <w:r>
              <w:rPr>
                <w:rFonts w:hint="eastAsia" w:ascii="宋体" w:hAnsi="宋体"/>
                <w:sz w:val="21"/>
                <w:szCs w:val="21"/>
              </w:rPr>
              <w:t>维修</w:t>
            </w:r>
            <w:r>
              <w:rPr>
                <w:rFonts w:ascii="宋体" w:hAnsi="宋体"/>
                <w:sz w:val="21"/>
                <w:szCs w:val="21"/>
              </w:rPr>
              <w:t>——</w:t>
            </w:r>
            <w:r>
              <w:rPr>
                <w:rFonts w:hint="eastAsia" w:ascii="宋体" w:hAnsi="宋体"/>
                <w:sz w:val="21"/>
                <w:szCs w:val="21"/>
              </w:rPr>
              <w:t>调试——交付。</w:t>
            </w:r>
          </w:p>
          <w:p>
            <w:pPr>
              <w:rPr>
                <w:rFonts w:ascii="宋体" w:hAnsi="宋体"/>
                <w:sz w:val="21"/>
                <w:szCs w:val="21"/>
              </w:rPr>
            </w:pPr>
            <w:r>
              <w:rPr>
                <w:rFonts w:hint="eastAsia" w:ascii="宋体" w:hAnsi="宋体"/>
                <w:sz w:val="21"/>
                <w:szCs w:val="21"/>
              </w:rPr>
              <w:t>维修为关键过程。</w:t>
            </w:r>
          </w:p>
          <w:p>
            <w:r>
              <w:rPr>
                <w:rFonts w:hint="eastAsia"/>
                <w:sz w:val="21"/>
                <w:szCs w:val="21"/>
              </w:rPr>
              <w:t>销售服务流程：</w:t>
            </w:r>
            <w:r>
              <w:rPr>
                <w:rFonts w:hint="eastAsia" w:ascii="宋体" w:hAnsi="宋体"/>
                <w:sz w:val="21"/>
                <w:szCs w:val="21"/>
              </w:rPr>
              <w:t>签订合同</w:t>
            </w:r>
            <w:r>
              <w:rPr>
                <w:rFonts w:ascii="宋体" w:hAnsi="宋体"/>
                <w:sz w:val="21"/>
                <w:szCs w:val="21"/>
              </w:rPr>
              <w:t>——</w:t>
            </w:r>
            <w:r>
              <w:rPr>
                <w:rFonts w:hint="eastAsia" w:ascii="宋体" w:hAnsi="宋体"/>
                <w:sz w:val="21"/>
                <w:szCs w:val="21"/>
              </w:rPr>
              <w:t>采购</w:t>
            </w:r>
            <w:r>
              <w:rPr>
                <w:rFonts w:ascii="宋体" w:hAnsi="宋体"/>
                <w:sz w:val="21"/>
                <w:szCs w:val="21"/>
              </w:rPr>
              <w:t>——</w:t>
            </w:r>
            <w:r>
              <w:rPr>
                <w:rFonts w:hint="eastAsia" w:ascii="宋体" w:hAnsi="宋体"/>
                <w:sz w:val="21"/>
                <w:szCs w:val="21"/>
              </w:rPr>
              <w:t>交付</w:t>
            </w:r>
            <w:r>
              <w:rPr>
                <w:rFonts w:ascii="宋体" w:hAnsi="宋体"/>
                <w:sz w:val="21"/>
                <w:szCs w:val="21"/>
              </w:rPr>
              <w:t>——</w:t>
            </w:r>
            <w:r>
              <w:rPr>
                <w:rFonts w:hint="eastAsia" w:ascii="宋体" w:hAnsi="宋体"/>
                <w:sz w:val="21"/>
                <w:szCs w:val="21"/>
              </w:rPr>
              <w:t>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2022年04月01日 上午至2022年04月02日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E：机电设备维修，机电设备及配件销售所涉及的相关环境管理活动</w:t>
            </w:r>
          </w:p>
          <w:p>
            <w:r>
              <w:t>O：机电设备维修，机电设备及配件销售所涉及的相关职业健康安全管理活动</w:t>
            </w:r>
          </w:p>
          <w:p>
            <w:r>
              <w:t>Q：机电设备维修，机电设备及配件销售</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E：18.08.00;29.10.07</w:t>
            </w:r>
          </w:p>
          <w:p>
            <w:r>
              <w:t>O：18.08.00;29.10.07</w:t>
            </w:r>
          </w:p>
          <w:p>
            <w:r>
              <w:t>Q：18.08.00;29.10.07</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四川省成都市锦江区一环路东五段46号“金辉商住楼（天紫界）”项目1幢1单元5层12号</w:t>
            </w:r>
          </w:p>
        </w:tc>
        <w:tc>
          <w:tcPr>
            <w:tcW w:w="2267" w:type="dxa"/>
          </w:tcPr>
          <w:p>
            <w:pPr>
              <w:rPr>
                <w:lang w:val="de-DE" w:eastAsia="ja-JP"/>
              </w:rPr>
            </w:pPr>
            <w:r>
              <w:rPr>
                <w:rFonts w:asciiTheme="minorEastAsia" w:hAnsiTheme="minorEastAsia" w:eastAsiaTheme="minorEastAsia"/>
                <w:sz w:val="20"/>
              </w:rPr>
              <w:t>成都市青白江区双华巷华逸路586号</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Q：机电设备维修，机电设备及配件销售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四川省成都市锦江区一环路东五段46号“金辉商住楼（天紫界）”项目1幢1单元5层12号</w:t>
            </w:r>
          </w:p>
        </w:tc>
        <w:tc>
          <w:tcPr>
            <w:tcW w:w="2267" w:type="dxa"/>
            <w:vAlign w:val="center"/>
          </w:tcPr>
          <w:p>
            <w:pPr>
              <w:rPr>
                <w:lang w:eastAsia="ja-JP"/>
              </w:rPr>
            </w:pPr>
            <w:r>
              <w:rPr>
                <w:rFonts w:asciiTheme="minorEastAsia" w:hAnsiTheme="minorEastAsia" w:eastAsiaTheme="minorEastAsia"/>
                <w:sz w:val="20"/>
              </w:rPr>
              <w:t>成都市青白江区双华巷华逸路586号</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E：机电设备维修，机电设备及配件销售所涉及的相关环境管理活动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四川省成都市锦江区一环路东五段46号“金辉商住楼（天紫界）”项目1幢1单元5层12号</w:t>
            </w:r>
          </w:p>
        </w:tc>
        <w:tc>
          <w:tcPr>
            <w:tcW w:w="2267" w:type="dxa"/>
            <w:vAlign w:val="center"/>
          </w:tcPr>
          <w:p>
            <w:pPr>
              <w:rPr>
                <w:lang w:eastAsia="ja-JP"/>
              </w:rPr>
            </w:pPr>
            <w:r>
              <w:rPr>
                <w:rFonts w:asciiTheme="minorEastAsia" w:hAnsiTheme="minorEastAsia" w:eastAsiaTheme="minorEastAsia"/>
                <w:sz w:val="20"/>
              </w:rPr>
              <w:t>成都市青白江区双华巷华逸路586号</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O：机电设备维修，机电设备及配件销售所涉及的相关职业健康安全管理活动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2019-N1EMS-1247783</w:t>
            </w:r>
          </w:p>
          <w:p>
            <w:r>
              <w:t>2021-N1OHSMS-1247783</w:t>
            </w:r>
          </w:p>
          <w:p>
            <w:r>
              <w:t>2020-N1QMS-1247783</w:t>
            </w:r>
          </w:p>
        </w:tc>
        <w:tc>
          <w:tcPr>
            <w:tcW w:w="2179" w:type="dxa"/>
            <w:vAlign w:val="center"/>
          </w:tcPr>
          <w:p>
            <w:r>
              <w:t>E:18.08.00,29.10.07</w:t>
            </w:r>
          </w:p>
          <w:p>
            <w:r>
              <w:t>O:18.08.00,29.10.07</w:t>
            </w:r>
          </w:p>
          <w:p>
            <w:r>
              <w:t>Q:18.08.00,29.10.07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对上次不符合“</w:t>
            </w:r>
            <w:r>
              <w:rPr>
                <w:rFonts w:hint="eastAsia" w:ascii="宋体" w:hAnsi="宋体" w:cs="宋体"/>
                <w:szCs w:val="21"/>
                <w:lang w:val="en-US" w:eastAsia="zh-CN"/>
              </w:rPr>
              <w:t>查法律法规清单中，中华人民共和国固体废物污染环境防治法、中华人民共和国合同法等未及时更新</w:t>
            </w:r>
            <w:r>
              <w:rPr>
                <w:rFonts w:hint="eastAsia"/>
                <w:lang w:val="en-US" w:eastAsia="zh-CN"/>
              </w:rPr>
              <w:t>”进行验证，不符合措施落实有效，不符合已经关闭，未再有类似情况发生。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9"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147955</wp:posOffset>
                  </wp:positionH>
                  <wp:positionV relativeFrom="paragraph">
                    <wp:posOffset>119380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最高管理者制定了文件化的管理体系方针：诚实守信，客户至上；真诚合作，实现双赢</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eastAsia="zh-CN"/>
              </w:rPr>
              <w:t>综合部、</w:t>
            </w:r>
            <w:r>
              <w:rPr>
                <w:rFonts w:hint="eastAsia"/>
                <w:lang w:val="en-US" w:eastAsia="zh-CN"/>
              </w:rPr>
              <w:t>维修部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维修服务处理率达到100%</w:t>
                  </w:r>
                </w:p>
              </w:tc>
              <w:tc>
                <w:tcPr>
                  <w:tcW w:w="3136"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维修服务处理数/订单数</w:t>
                  </w:r>
                  <w:r>
                    <w:rPr>
                      <w:rFonts w:hint="eastAsia" w:ascii="宋体" w:hAnsi="宋体" w:cs="Times New Roman"/>
                      <w:highlight w:val="none"/>
                    </w:rPr>
                    <w:t>×100%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维修部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顾客满意率达到≥90%</w:t>
                  </w:r>
                </w:p>
              </w:tc>
              <w:tc>
                <w:tcPr>
                  <w:tcW w:w="3136" w:type="dxa"/>
                  <w:shd w:val="clear" w:color="auto" w:fill="auto"/>
                  <w:vAlign w:val="center"/>
                </w:tcPr>
                <w:p>
                  <w:pPr>
                    <w:shd w:val="clear" w:color="auto" w:fill="C7DAF1" w:themeFill="text2" w:themeFillTint="32"/>
                    <w:rPr>
                      <w:rFonts w:hint="default" w:ascii="宋体" w:hAnsi="宋体" w:cs="Times New Roman"/>
                      <w:highlight w:val="none"/>
                      <w:lang w:val="en-US"/>
                    </w:rPr>
                  </w:pPr>
                  <w:r>
                    <w:rPr>
                      <w:rFonts w:hint="eastAsia" w:ascii="宋体" w:hAnsi="宋体" w:cs="Times New Roman"/>
                      <w:highlight w:val="none"/>
                      <w:lang w:val="en-US" w:eastAsia="zh-CN"/>
                    </w:rPr>
                    <w:t>满意顾客数/顾客总数</w:t>
                  </w:r>
                  <w:r>
                    <w:rPr>
                      <w:rFonts w:hint="eastAsia" w:ascii="宋体" w:hAnsi="宋体" w:cs="Times New Roman"/>
                      <w:highlight w:val="none"/>
                    </w:rPr>
                    <w:t>×100%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eastAsia="zh-CN"/>
                    </w:rPr>
                  </w:pPr>
                  <w:r>
                    <w:rPr>
                      <w:rFonts w:hint="eastAsia" w:ascii="宋体" w:hAnsi="宋体" w:cs="Times New Roman"/>
                      <w:highlight w:val="none"/>
                      <w:lang w:val="en-US" w:eastAsia="zh-CN"/>
                    </w:rPr>
                    <w:t>综合部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合同履约率100％</w:t>
                  </w:r>
                </w:p>
              </w:tc>
              <w:tc>
                <w:tcPr>
                  <w:tcW w:w="3136"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合同履约数/合同签订数</w:t>
                  </w:r>
                  <w:r>
                    <w:rPr>
                      <w:rFonts w:hint="eastAsia" w:ascii="宋体" w:hAnsi="宋体" w:cs="Times New Roman"/>
                      <w:highlight w:val="none"/>
                    </w:rPr>
                    <w:t>×100%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rPr>
                    <w:t>业务部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 </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 xml:space="preserve"> 80</w:t>
            </w:r>
            <w:r>
              <w:rPr>
                <w:rFonts w:hint="eastAsia"/>
                <w:highlight w:val="none"/>
              </w:rPr>
              <w:t>平方米</w:t>
            </w:r>
            <w:r>
              <w:rPr>
                <w:rFonts w:hint="eastAsia"/>
              </w:rPr>
              <w:t>；生产车间</w:t>
            </w:r>
            <w:r>
              <w:rPr>
                <w:rFonts w:hint="eastAsia"/>
                <w:lang w:val="en-US" w:eastAsia="zh-CN"/>
              </w:rPr>
              <w:t>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cs="Times New Roman"/>
                <w:highlight w:val="none"/>
                <w:u w:val="single"/>
                <w:lang w:val="en-US" w:eastAsia="zh-CN"/>
              </w:rPr>
              <w:t>旋转工作平台、手动葫芦、千斤顶、液压拉码、手动工具</w:t>
            </w:r>
            <w:r>
              <w:rPr>
                <w:rFonts w:hint="eastAsia" w:ascii="Times New Roman" w:hAnsi="Times New Roman" w:cs="Times New Roman"/>
                <w:highlight w:val="none"/>
                <w:u w:val="single"/>
                <w:lang w:val="en-US" w:eastAsia="zh-CN"/>
              </w:rPr>
              <w:t xml:space="preserve">等  </w:t>
            </w:r>
            <w:r>
              <w:rPr>
                <w:rFonts w:hint="eastAsia"/>
                <w:u w:val="single"/>
              </w:rPr>
              <w:t>（列举2~4种）</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r>
              <w:rPr>
                <w:rFonts w:hint="eastAsia"/>
                <w:lang w:val="en-US" w:eastAsia="zh-CN"/>
              </w:rPr>
              <w:t>无。</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lang w:val="en-US" w:eastAsia="zh-CN"/>
              </w:rPr>
              <w:t>游标卡尺、百分表、交直流钳形表和绝缘电阻表</w:t>
            </w:r>
            <w:r>
              <w:rPr>
                <w:rFonts w:hint="eastAsia"/>
                <w:highlight w:val="none"/>
                <w:u w:val="single"/>
              </w:rPr>
              <w:t>（列举1~4种）</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机电设备维修</w:t>
                  </w:r>
                </w:p>
              </w:tc>
              <w:tc>
                <w:tcPr>
                  <w:tcW w:w="3665" w:type="dxa"/>
                </w:tcPr>
                <w:p>
                  <w:pPr>
                    <w:shd w:val="clear" w:color="auto" w:fill="C7DAF1" w:themeFill="text2" w:themeFillTint="32"/>
                    <w:jc w:val="left"/>
                    <w:rPr>
                      <w:rFonts w:hint="eastAsia" w:eastAsia="宋体"/>
                      <w:lang w:eastAsia="zh-CN"/>
                    </w:rPr>
                  </w:pPr>
                  <w:r>
                    <w:rPr>
                      <w:rFonts w:hint="eastAsia"/>
                      <w:lang w:val="en-US" w:eastAsia="zh-CN"/>
                    </w:rPr>
                    <w:t>维修</w:t>
                  </w:r>
                  <w:r>
                    <w:rPr>
                      <w:rFonts w:hint="eastAsia"/>
                      <w:lang w:eastAsia="zh-CN"/>
                    </w:rPr>
                    <w:t>服务过程</w:t>
                  </w:r>
                </w:p>
              </w:tc>
              <w:tc>
                <w:tcPr>
                  <w:tcW w:w="3265" w:type="dxa"/>
                </w:tcPr>
                <w:p>
                  <w:pPr>
                    <w:shd w:val="clear" w:color="auto" w:fill="C7DAF1" w:themeFill="text2" w:themeFillTint="32"/>
                    <w:jc w:val="left"/>
                    <w:rPr>
                      <w:rFonts w:hint="eastAsia" w:eastAsia="宋体"/>
                      <w:lang w:eastAsia="zh-CN"/>
                    </w:rPr>
                  </w:pPr>
                  <w:r>
                    <w:rPr>
                      <w:rFonts w:hint="eastAsia"/>
                      <w:lang w:eastAsia="zh-CN"/>
                    </w:rPr>
                    <w:t>顾客满意度、服务规范性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5</w:t>
            </w:r>
            <w:r>
              <w:rPr>
                <w:rFonts w:hint="eastAsia"/>
                <w:highlight w:val="none"/>
              </w:rPr>
              <w:t>日实施了质量管理体</w:t>
            </w:r>
            <w:r>
              <w:rPr>
                <w:rFonts w:hint="eastAsia"/>
              </w:rPr>
              <w:t>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bookmarkStart w:id="32" w:name="_GoBack"/>
            <w:r>
              <w:rPr>
                <w:rFonts w:hint="eastAsia"/>
                <w:color w:val="FF0000"/>
              </w:rPr>
              <w:t>最高管理者已按策划的时间间隔，</w:t>
            </w:r>
            <w:r>
              <w:rPr>
                <w:rFonts w:hint="eastAsia"/>
                <w:color w:val="FF0000"/>
                <w:highlight w:val="none"/>
              </w:rPr>
              <w:t>在</w:t>
            </w:r>
            <w:r>
              <w:rPr>
                <w:rFonts w:hint="eastAsia"/>
                <w:color w:val="FF0000"/>
                <w:highlight w:val="none"/>
                <w:lang w:val="en-US" w:eastAsia="zh-CN"/>
              </w:rPr>
              <w:t>2021</w:t>
            </w:r>
            <w:r>
              <w:rPr>
                <w:rFonts w:hint="eastAsia"/>
                <w:color w:val="FF0000"/>
                <w:highlight w:val="none"/>
              </w:rPr>
              <w:t>年</w:t>
            </w:r>
            <w:r>
              <w:rPr>
                <w:rFonts w:hint="eastAsia"/>
                <w:color w:val="FF0000"/>
                <w:highlight w:val="none"/>
                <w:lang w:val="en-US" w:eastAsia="zh-CN"/>
              </w:rPr>
              <w:t>8</w:t>
            </w:r>
            <w:r>
              <w:rPr>
                <w:rFonts w:hint="eastAsia"/>
                <w:color w:val="FF0000"/>
                <w:highlight w:val="none"/>
              </w:rPr>
              <w:t>月</w:t>
            </w:r>
            <w:r>
              <w:rPr>
                <w:rFonts w:hint="eastAsia"/>
                <w:color w:val="FF0000"/>
                <w:highlight w:val="none"/>
                <w:lang w:val="en-US" w:eastAsia="zh-CN"/>
              </w:rPr>
              <w:t>15</w:t>
            </w:r>
            <w:r>
              <w:rPr>
                <w:rFonts w:hint="eastAsia"/>
                <w:color w:val="FF0000"/>
                <w:highlight w:val="none"/>
              </w:rPr>
              <w:t>日对组织</w:t>
            </w:r>
            <w:r>
              <w:rPr>
                <w:rFonts w:hint="eastAsia"/>
                <w:color w:val="FF0000"/>
              </w:rPr>
              <w:t>的质量管理体系进行了评审，以确保其持续的适宜性、充分性和有效性；管理评审输入、输出均按要求提供。并对提出的改进措施进行了落实。</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b/>
                <w:bCs/>
              </w:rPr>
              <w:t>遵规守法，预防污染；高效低耗，环保作业</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ascii="宋体" w:hAnsi="宋体"/>
                <w:sz w:val="18"/>
                <w:szCs w:val="18"/>
              </w:rPr>
              <w:t>物业</w:t>
            </w:r>
            <w:r>
              <w:rPr>
                <w:rFonts w:hint="eastAsia" w:ascii="宋体" w:hAnsi="宋体"/>
                <w:sz w:val="18"/>
                <w:szCs w:val="18"/>
                <w:lang w:eastAsia="zh-CN"/>
              </w:rPr>
              <w:t>综合部</w:t>
            </w:r>
            <w:r>
              <w:rPr>
                <w:rFonts w:hint="eastAsia"/>
              </w:rPr>
              <w:t>—</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固体废弃物分类处理率100%</w:t>
                  </w:r>
                </w:p>
              </w:tc>
              <w:tc>
                <w:tcPr>
                  <w:tcW w:w="3136"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s="Times New Roman"/>
                    </w:rPr>
                    <w:t xml:space="preserve">火灾事故 </w:t>
                  </w:r>
                </w:p>
              </w:tc>
              <w:tc>
                <w:tcPr>
                  <w:tcW w:w="3136" w:type="dxa"/>
                  <w:shd w:val="clear" w:color="auto" w:fill="auto"/>
                  <w:vAlign w:val="center"/>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w:t>
            </w:r>
            <w:r>
              <w:rPr>
                <w:rFonts w:hint="eastAsia"/>
                <w:highlight w:val="none"/>
              </w:rPr>
              <w:t>面积</w:t>
            </w:r>
            <w:r>
              <w:rPr>
                <w:rFonts w:hint="eastAsia"/>
                <w:highlight w:val="none"/>
                <w:lang w:val="en-US" w:eastAsia="zh-CN"/>
              </w:rPr>
              <w:t>1000</w:t>
            </w:r>
            <w:r>
              <w:rPr>
                <w:rFonts w:hint="eastAsia"/>
                <w:highlight w:val="none"/>
              </w:rPr>
              <w:t>平方米；生产车间</w:t>
            </w:r>
            <w:r>
              <w:rPr>
                <w:rFonts w:hint="eastAsia"/>
                <w:highlight w:val="none"/>
                <w:lang w:val="en-US" w:eastAsia="zh-CN"/>
              </w:rPr>
              <w:t>1</w:t>
            </w:r>
            <w:r>
              <w:rPr>
                <w:rFonts w:hint="eastAsia"/>
                <w:highlight w:val="none"/>
              </w:rPr>
              <w:t>个；库房</w:t>
            </w:r>
            <w:r>
              <w:rPr>
                <w:rFonts w:hint="eastAsia"/>
                <w:highlight w:val="none"/>
                <w:lang w:val="en-US" w:eastAsia="zh-CN"/>
              </w:rPr>
              <w:t>1</w:t>
            </w:r>
            <w:r>
              <w:rPr>
                <w:rFonts w:hint="eastAsia"/>
                <w:highlight w:val="none"/>
              </w:rPr>
              <w:t>个；实验室</w:t>
            </w:r>
            <w:r>
              <w:rPr>
                <w:rFonts w:hint="eastAsia"/>
              </w:rPr>
              <w:t>个；</w:t>
            </w:r>
          </w:p>
          <w:p>
            <w:pPr>
              <w:shd w:val="clear" w:color="auto" w:fill="EBF1DE" w:themeFill="accent3" w:themeFillTint="32"/>
              <w:rPr>
                <w:u w:val="single"/>
              </w:rPr>
            </w:pPr>
            <w:r>
              <w:rPr>
                <w:rFonts w:hint="eastAsia"/>
              </w:rPr>
              <w:t>主要生产设备有：</w:t>
            </w:r>
            <w:r>
              <w:rPr>
                <w:rFonts w:hint="eastAsia" w:cs="Times New Roman"/>
                <w:highlight w:val="none"/>
                <w:u w:val="single"/>
                <w:lang w:val="en-US" w:eastAsia="zh-CN"/>
              </w:rPr>
              <w:t>旋转工作平台、手动葫芦、千斤顶、液压拉码、手动工具</w:t>
            </w:r>
            <w:r>
              <w:rPr>
                <w:rFonts w:hint="eastAsia" w:ascii="Times New Roman" w:hAnsi="Times New Roman" w:cs="Times New Roman"/>
                <w:highlight w:val="none"/>
                <w:u w:val="single"/>
                <w:lang w:val="en-US" w:eastAsia="zh-CN"/>
              </w:rPr>
              <w:t>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r>
              <w:rPr>
                <w:rFonts w:hint="eastAsia"/>
                <w:lang w:val="en-US" w:eastAsia="zh-CN"/>
              </w:rPr>
              <w:t>行车2.8T不需要年检报告</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highlight w:val="none"/>
                <w:lang w:val="en-US" w:eastAsia="zh-CN"/>
              </w:rPr>
              <w:t>2021</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15</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14</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lang w:val="en-US" w:eastAsia="zh-CN"/>
              </w:rPr>
              <w:t>2021</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25</w:t>
            </w:r>
            <w:r>
              <w:rPr>
                <w:rFonts w:hint="eastAsia"/>
                <w:highlight w:val="none"/>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lang w:val="en-US" w:eastAsia="zh-CN"/>
              </w:rPr>
              <w:t>2021</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15</w:t>
            </w:r>
            <w:r>
              <w:rPr>
                <w:rFonts w:hint="eastAsia"/>
                <w:highlight w:val="none"/>
              </w:rPr>
              <w:t>日对组织的环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□建立机制 </w:t>
            </w:r>
            <w:r>
              <w:rPr>
                <w:rFonts w:hint="eastAsia"/>
                <w:lang w:eastAsia="zh-CN"/>
              </w:rPr>
              <w:t>☑</w:t>
            </w:r>
            <w:r>
              <w:rPr>
                <w:rFonts w:hint="eastAsia"/>
              </w:rPr>
              <w:t>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cs="Times New Roman"/>
                <w:u w:val="single"/>
              </w:rPr>
            </w:pPr>
            <w:r>
              <w:rPr>
                <w:rFonts w:hint="eastAsia"/>
              </w:rPr>
              <w:t>最高管理者制定了文件化的职业健康安全管理体系方</w:t>
            </w:r>
            <w:r>
              <w:rPr>
                <w:rFonts w:hint="eastAsia" w:ascii="Times New Roman" w:hAnsi="Times New Roman" w:eastAsia="宋体" w:cs="Times New Roman"/>
              </w:rPr>
              <w:t>针：</w:t>
            </w:r>
            <w:r>
              <w:rPr>
                <w:rFonts w:hint="eastAsia" w:ascii="Times New Roman" w:hAnsi="Times New Roman" w:cs="Times New Roman"/>
                <w:u w:val="single"/>
              </w:rPr>
              <w:t xml:space="preserve">安全第一，预防为主；健康向上，共建和谐   </w:t>
            </w:r>
          </w:p>
          <w:p>
            <w:pPr>
              <w:rPr>
                <w:lang w:val="en-GB"/>
              </w:rPr>
            </w:pPr>
            <w:r>
              <w:rPr>
                <w:rFonts w:hint="eastAsia"/>
                <w:u w:val="none"/>
              </w:rPr>
              <w:t>职业健康安全</w:t>
            </w:r>
            <w:r>
              <w:rPr>
                <w:rFonts w:hint="eastAsia"/>
                <w:u w:val="none"/>
                <w:lang w:val="en-GB"/>
              </w:rPr>
              <w:t>方</w:t>
            </w:r>
            <w:r>
              <w:rPr>
                <w:rFonts w:hint="eastAsia"/>
                <w:lang w:val="en-GB"/>
              </w:rPr>
              <w:t>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综合部</w:t>
            </w:r>
          </w:p>
          <w:p>
            <w:pPr>
              <w:rPr>
                <w:highlight w:val="none"/>
              </w:rPr>
            </w:pPr>
            <w:r>
              <w:rPr>
                <w:rFonts w:hint="eastAsia"/>
                <w:highlight w:val="none"/>
              </w:rPr>
              <w:t>安全的主管部门是—</w:t>
            </w:r>
            <w:r>
              <w:rPr>
                <w:rFonts w:hint="eastAsia"/>
                <w:highlight w:val="none"/>
                <w:lang w:val="en-US" w:eastAsia="zh-CN"/>
              </w:rPr>
              <w:t>综合部</w:t>
            </w:r>
            <w:r>
              <w:rPr>
                <w:rFonts w:hint="eastAsia"/>
                <w:highlight w:val="none"/>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cs="Times New Roman"/>
                <w:lang w:eastAsia="zh-CN"/>
              </w:rPr>
              <w:t>胡琼芳</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维修过程</w:t>
                  </w:r>
                </w:p>
              </w:tc>
              <w:tc>
                <w:tcPr>
                  <w:tcW w:w="3965" w:type="dxa"/>
                </w:tcPr>
                <w:p>
                  <w:pPr>
                    <w:rPr>
                      <w:rFonts w:hint="default" w:eastAsia="宋体"/>
                      <w:lang w:val="en-US" w:eastAsia="zh-CN"/>
                    </w:rPr>
                  </w:pPr>
                  <w:r>
                    <w:rPr>
                      <w:rFonts w:hint="eastAsia"/>
                      <w:lang w:val="en-US" w:eastAsia="zh-CN"/>
                    </w:rPr>
                    <w:t>制定安全操作规程、安全措施并严格执行</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lang w:eastAsia="zh-CN"/>
              </w:rPr>
              <w:t>□</w:t>
            </w:r>
            <w:r>
              <w:rPr>
                <w:rFonts w:hint="eastAsia"/>
              </w:rPr>
              <w:t xml:space="preserve">除尘设备 □漏电保护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cs="Times New Roman"/>
                      <w:color w:val="000000"/>
                      <w:szCs w:val="18"/>
                      <w:lang w:val="en-US" w:eastAsia="zh-CN"/>
                    </w:rPr>
                    <w:t>人身伤亡为零</w:t>
                  </w:r>
                </w:p>
              </w:tc>
              <w:tc>
                <w:tcPr>
                  <w:tcW w:w="2619" w:type="dxa"/>
                  <w:shd w:val="clear" w:color="auto" w:fill="auto"/>
                  <w:vAlign w:val="center"/>
                </w:tcPr>
                <w:p>
                  <w:pPr>
                    <w:rPr>
                      <w:rFonts w:hint="default" w:eastAsia="宋体"/>
                      <w:lang w:val="en-US" w:eastAsia="zh-CN"/>
                    </w:rPr>
                  </w:pPr>
                  <w:r>
                    <w:rPr>
                      <w:rFonts w:hint="eastAsia" w:ascii="宋体" w:hAnsi="宋体"/>
                      <w:lang w:val="en-US" w:eastAsia="zh-CN"/>
                    </w:rPr>
                    <w:t>安全管理方案</w:t>
                  </w:r>
                </w:p>
              </w:tc>
              <w:tc>
                <w:tcPr>
                  <w:tcW w:w="1155" w:type="dxa"/>
                  <w:shd w:val="clear" w:color="auto" w:fill="auto"/>
                  <w:vAlign w:val="center"/>
                </w:tcPr>
                <w:p>
                  <w:pPr>
                    <w:rPr>
                      <w:rFonts w:hint="eastAsia" w:eastAsia="宋体"/>
                      <w:lang w:val="en-GB" w:eastAsia="zh-CN"/>
                    </w:rPr>
                  </w:pPr>
                  <w:r>
                    <w:rPr>
                      <w:rFonts w:hint="eastAsia" w:cs="Times New Roman"/>
                      <w:color w:val="000000"/>
                      <w:szCs w:val="18"/>
                      <w:lang w:val="en-US" w:eastAsia="zh-CN"/>
                    </w:rPr>
                    <w:t>综合部</w:t>
                  </w:r>
                </w:p>
              </w:tc>
              <w:tc>
                <w:tcPr>
                  <w:tcW w:w="2486" w:type="dxa"/>
                  <w:shd w:val="clear" w:color="auto" w:fill="auto"/>
                  <w:vAlign w:val="center"/>
                </w:tcPr>
                <w:p>
                  <w:pPr>
                    <w:jc w:val="both"/>
                    <w:rPr>
                      <w:rFonts w:ascii="宋体" w:hAnsi="宋体"/>
                      <w:lang w:val="en-GB"/>
                    </w:rPr>
                  </w:pPr>
                  <w:r>
                    <w:rPr>
                      <w:rFonts w:hint="eastAsia" w:ascii="Times New Roman" w:hAnsi="Times New Roman" w:eastAsia="宋体"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Arial" w:hAnsi="宋体" w:cs="Arial"/>
                      <w:szCs w:val="21"/>
                      <w:lang w:val="en-US" w:eastAsia="zh-CN"/>
                    </w:rPr>
                    <w:t>火灾事故为零</w:t>
                  </w:r>
                </w:p>
              </w:tc>
              <w:tc>
                <w:tcPr>
                  <w:tcW w:w="2619"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155"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综合部</w:t>
                  </w:r>
                </w:p>
              </w:tc>
              <w:tc>
                <w:tcPr>
                  <w:tcW w:w="2486" w:type="dxa"/>
                  <w:shd w:val="clear" w:color="auto" w:fill="auto"/>
                  <w:vAlign w:val="top"/>
                </w:tcPr>
                <w:p>
                  <w:pPr>
                    <w:widowControl/>
                    <w:spacing w:before="40"/>
                    <w:jc w:val="left"/>
                    <w:rPr>
                      <w:rFonts w:ascii="宋体" w:hAnsi="宋体"/>
                    </w:rPr>
                  </w:pPr>
                  <w:r>
                    <w:rPr>
                      <w:rFonts w:hint="eastAsia" w:ascii="Times New Roman" w:hAnsi="Times New Roman"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hint="default" w:ascii="宋体" w:hAnsi="宋体" w:eastAsia="宋体"/>
                      <w:lang w:val="en-US" w:eastAsia="zh-CN"/>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both"/>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rPr>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旋转工作平台、手动葫芦、千斤顶、液压拉码、手动工具</w:t>
            </w:r>
            <w:r>
              <w:rPr>
                <w:rFonts w:hint="eastAsia"/>
                <w:color w:val="000000"/>
                <w:highlight w:val="none"/>
                <w:u w:val="single"/>
                <w:lang w:val="en-US" w:eastAsia="zh-CN"/>
              </w:rPr>
              <w:t>等</w:t>
            </w:r>
            <w:r>
              <w:rPr>
                <w:rFonts w:hint="eastAsia"/>
                <w:highlight w:val="none"/>
                <w:u w:val="single"/>
              </w:rPr>
              <w:t xml:space="preserve"> （</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rPr>
                <w:highlight w:val="none"/>
              </w:rPr>
            </w:pPr>
            <w:r>
              <w:rPr>
                <w:rFonts w:hint="eastAsia"/>
                <w:highlight w:val="none"/>
              </w:rPr>
              <w:t>职业健康安全监测的计量器具有：</w:t>
            </w:r>
          </w:p>
          <w:p>
            <w:pPr>
              <w:rPr>
                <w:highlight w:val="none"/>
              </w:rPr>
            </w:pPr>
            <w:r>
              <w:rPr>
                <w:rFonts w:hint="eastAsia" w:ascii="Wingdings" w:hAnsi="Wingdings"/>
                <w:highlight w:val="none"/>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highlight w:val="none"/>
              </w:rPr>
              <w:t>于</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15</w:t>
            </w:r>
            <w:r>
              <w:rPr>
                <w:rFonts w:hint="eastAsia"/>
                <w:highlight w:val="none"/>
              </w:rPr>
              <w:t>日进行了</w:t>
            </w:r>
            <w:r>
              <w:rPr>
                <w:rFonts w:hint="eastAsia"/>
                <w:highlight w:val="none"/>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14</w:t>
            </w:r>
            <w:r>
              <w:rPr>
                <w:rFonts w:hint="eastAsia"/>
                <w:highlight w:val="none"/>
                <w:u w:val="single"/>
              </w:rPr>
              <w:t xml:space="preserve"> </w:t>
            </w:r>
            <w:r>
              <w:rPr>
                <w:rFonts w:hint="eastAsia"/>
                <w:highlight w:val="none"/>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25</w:t>
            </w:r>
            <w:r>
              <w:rPr>
                <w:rFonts w:hint="eastAsia"/>
                <w:highlight w:val="none"/>
                <w:u w:val="single"/>
              </w:rPr>
              <w:t xml:space="preserve">  </w:t>
            </w:r>
            <w:r>
              <w:rPr>
                <w:rFonts w:hint="eastAsia"/>
                <w:highlight w:val="none"/>
              </w:rPr>
              <w:t>日实施了职业健康安全管理体系内部审核，对职业健康安全管理体系的符合性和有效性进行了审核。内审发现的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C6C6F93"/>
    <w:rsid w:val="41E17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19605</Words>
  <Characters>20592</Characters>
  <Lines>150</Lines>
  <Paragraphs>42</Paragraphs>
  <TotalTime>72</TotalTime>
  <ScaleCrop>false</ScaleCrop>
  <LinksUpToDate>false</LinksUpToDate>
  <CharactersWithSpaces>21888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2022-04-01T14:23:17Z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