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0105-2020-Q-2022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襄阳皖丰机械有限公司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襄阳皖丰机械有限公司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襄阳市高新技术开发区新风路6号</w:t>
            </w:r>
            <w:bookmarkEnd w:id="6"/>
          </w:p>
        </w:tc>
        <w:tc>
          <w:tcPr>
            <w:tcW w:w="1242" w:type="dxa"/>
            <w:vMerge w:val="restart"/>
            <w:vAlign w:val="center"/>
          </w:tcPr>
          <w:p>
            <w:r>
              <w:rPr>
                <w:rFonts w:hint="eastAsia"/>
              </w:rPr>
              <w:t>邮编</w:t>
            </w:r>
          </w:p>
        </w:tc>
        <w:tc>
          <w:tcPr>
            <w:tcW w:w="1771" w:type="dxa"/>
          </w:tcPr>
          <w:p>
            <w:bookmarkStart w:id="7" w:name="注册邮编"/>
            <w:r>
              <w:t>441004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襄阳市高新技术开发区新风路6号襄阳鹰牌轴承院内</w:t>
            </w:r>
            <w:bookmarkEnd w:id="8"/>
          </w:p>
        </w:tc>
        <w:tc>
          <w:tcPr>
            <w:tcW w:w="1242" w:type="dxa"/>
            <w:vMerge w:val="continue"/>
            <w:vAlign w:val="center"/>
          </w:tcPr>
          <w:p/>
        </w:tc>
        <w:tc>
          <w:tcPr>
            <w:tcW w:w="1771" w:type="dxa"/>
          </w:tcPr>
          <w:p>
            <w:bookmarkStart w:id="9" w:name="办公邮编"/>
            <w:r>
              <w:t>441004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李建国</w:t>
            </w:r>
            <w:bookmarkEnd w:id="10"/>
          </w:p>
        </w:tc>
        <w:tc>
          <w:tcPr>
            <w:tcW w:w="1313" w:type="dxa"/>
            <w:vAlign w:val="center"/>
          </w:tcPr>
          <w:p>
            <w:r>
              <w:rPr>
                <w:rFonts w:hint="eastAsia"/>
              </w:rPr>
              <w:t>电话.</w:t>
            </w:r>
          </w:p>
        </w:tc>
        <w:tc>
          <w:tcPr>
            <w:tcW w:w="2180" w:type="dxa"/>
            <w:vAlign w:val="center"/>
          </w:tcPr>
          <w:p>
            <w:bookmarkStart w:id="11" w:name="联系人电话"/>
            <w:r>
              <w:t>13871607487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韩振伟</w:t>
            </w:r>
            <w:bookmarkEnd w:id="13"/>
          </w:p>
        </w:tc>
        <w:tc>
          <w:tcPr>
            <w:tcW w:w="1313" w:type="dxa"/>
            <w:vAlign w:val="center"/>
          </w:tcPr>
          <w:p>
            <w:r>
              <w:rPr>
                <w:rFonts w:hint="eastAsia"/>
              </w:rPr>
              <w:t>管理者代表</w:t>
            </w:r>
          </w:p>
        </w:tc>
        <w:tc>
          <w:tcPr>
            <w:tcW w:w="2180" w:type="dxa"/>
          </w:tcPr>
          <w:p>
            <w:bookmarkStart w:id="14" w:name="管理者代表"/>
            <w:r>
              <w:t>张勤平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6"/>
              <w:numPr>
                <w:ilvl w:val="0"/>
                <w:numId w:val="0"/>
              </w:numPr>
              <w:ind w:leftChars="0"/>
              <w:rPr>
                <w:rFonts w:hint="eastAsia"/>
                <w:lang w:val="en-US" w:eastAsia="zh-CN"/>
              </w:rPr>
            </w:pPr>
            <w:r>
              <w:rPr>
                <w:rFonts w:hint="eastAsia"/>
                <w:lang w:val="en-US" w:eastAsia="zh-CN"/>
              </w:rPr>
              <w:t>生产：签订合同——采购原材料——金属加工制造（车、钻、加工中心）——检验——入库</w:t>
            </w:r>
          </w:p>
          <w:p>
            <w:pPr>
              <w:pStyle w:val="27"/>
              <w:spacing w:line="276" w:lineRule="auto"/>
              <w:rPr>
                <w:rFonts w:hint="eastAsia" w:eastAsia="宋体" w:asciiTheme="minorEastAsia" w:hAnsiTheme="minorEastAsia"/>
                <w:lang w:eastAsia="zh-CN"/>
              </w:rPr>
            </w:pPr>
            <w:r>
              <w:rPr>
                <w:rFonts w:hint="eastAsia" w:cs="宋体" w:asciiTheme="minorEastAsia" w:hAnsiTheme="minorEastAsia" w:eastAsiaTheme="minorEastAsia"/>
                <w:szCs w:val="21"/>
                <w:lang w:val="en-US" w:eastAsia="zh-CN"/>
              </w:rPr>
              <w:t>销售：</w:t>
            </w:r>
            <w:r>
              <w:rPr>
                <w:rFonts w:hint="eastAsia" w:cs="宋体" w:asciiTheme="minorEastAsia" w:hAnsiTheme="minorEastAsia" w:eastAsiaTheme="minorEastAsia"/>
                <w:szCs w:val="21"/>
              </w:rPr>
              <w:t>客户</w:t>
            </w:r>
            <w:r>
              <w:rPr>
                <w:rFonts w:hint="eastAsia" w:cs="宋体" w:asciiTheme="minorEastAsia" w:hAnsiTheme="minorEastAsia" w:eastAsiaTheme="minorEastAsia"/>
                <w:szCs w:val="21"/>
                <w:lang w:val="en-US" w:eastAsia="zh-CN"/>
              </w:rPr>
              <w:t>接洽</w:t>
            </w:r>
            <w:r>
              <w:rPr>
                <w:rFonts w:hint="eastAsia"/>
                <w:sz w:val="21"/>
                <w:szCs w:val="21"/>
              </w:rPr>
              <w:t>－－</w:t>
            </w:r>
            <w:r>
              <w:rPr>
                <w:rFonts w:hint="eastAsia" w:cs="宋体" w:asciiTheme="minorEastAsia" w:hAnsiTheme="minorEastAsia" w:eastAsiaTheme="minorEastAsia"/>
                <w:szCs w:val="21"/>
              </w:rPr>
              <w:t>签订合同</w:t>
            </w:r>
            <w:r>
              <w:rPr>
                <w:rFonts w:hint="eastAsia"/>
                <w:sz w:val="21"/>
                <w:szCs w:val="21"/>
              </w:rPr>
              <w:t>－－</w:t>
            </w:r>
            <w:r>
              <w:rPr>
                <w:rFonts w:hint="eastAsia"/>
                <w:sz w:val="21"/>
                <w:szCs w:val="21"/>
                <w:lang w:val="en-US" w:eastAsia="zh-CN"/>
              </w:rPr>
              <w:t>销售服务</w:t>
            </w:r>
            <w:r>
              <w:rPr>
                <w:rFonts w:hint="eastAsia"/>
                <w:sz w:val="21"/>
                <w:szCs w:val="21"/>
              </w:rPr>
              <w:t>－－</w:t>
            </w:r>
            <w:r>
              <w:rPr>
                <w:rFonts w:hint="eastAsia"/>
                <w:color w:val="000000"/>
                <w:szCs w:val="22"/>
                <w:lang w:eastAsia="zh-CN"/>
              </w:rPr>
              <w:t>验收交付</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w:t>
            </w:r>
            <w:r>
              <w:rPr>
                <w:rFonts w:hint="eastAsia"/>
                <w:lang w:val="en-US" w:eastAsia="zh-CN"/>
              </w:rPr>
              <w:t>7</w:t>
            </w:r>
            <w:r>
              <w:rPr>
                <w:rFonts w:hint="eastAsia"/>
              </w:rPr>
              <w:t>日 上午至2022年04月1</w:t>
            </w:r>
            <w:r>
              <w:rPr>
                <w:rFonts w:hint="eastAsia"/>
                <w:lang w:val="en-US" w:eastAsia="zh-CN"/>
              </w:rPr>
              <w:t>7</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汽车轮彀单元、轴承内外圈的加工及销售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Theme="minorEastAsia" w:hAnsiTheme="minorEastAsia" w:eastAsiaTheme="minor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sym w:font="Wingdings 2" w:char="00A3"/>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A3"/>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default"/>
                <w:lang w:val="en-US" w:eastAsia="ja-JP"/>
              </w:rPr>
            </w:pPr>
            <w:r>
              <w:rPr>
                <w:rFonts w:hint="eastAsia"/>
                <w:lang w:eastAsia="zh-CN"/>
              </w:rPr>
              <w:t>襄阳皖丰机械有限公司；</w:t>
            </w:r>
            <w:r>
              <w:rPr>
                <w:rFonts w:hint="eastAsia"/>
              </w:rPr>
              <w:t>襄阳市高新区新风路6号襄阳鹰牌轴承院内</w:t>
            </w:r>
          </w:p>
        </w:tc>
        <w:tc>
          <w:tcPr>
            <w:tcW w:w="2267" w:type="dxa"/>
          </w:tcPr>
          <w:p>
            <w:pPr>
              <w:rPr>
                <w:lang w:val="de-DE" w:eastAsia="ja-JP"/>
              </w:rPr>
            </w:pP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rFonts w:hint="eastAsia" w:asciiTheme="minorEastAsia" w:hAnsiTheme="minorEastAsia" w:eastAsiaTheme="minorEastAsia"/>
              </w:rPr>
              <w:t>汽车轮彀单元、轴承内外圈的加工及销售</w:t>
            </w:r>
          </w:p>
        </w:tc>
        <w:tc>
          <w:tcPr>
            <w:tcW w:w="669" w:type="dxa"/>
            <w:vAlign w:val="center"/>
          </w:tcPr>
          <w:p>
            <w:pPr>
              <w:rPr>
                <w:lang w:eastAsia="ja-JP"/>
              </w:rPr>
            </w:pPr>
          </w:p>
        </w:tc>
        <w:tc>
          <w:tcPr>
            <w:tcW w:w="668" w:type="dxa"/>
            <w:shd w:val="clear" w:color="auto" w:fill="FFFFFF"/>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刘艳铃</w:t>
            </w:r>
          </w:p>
        </w:tc>
        <w:tc>
          <w:tcPr>
            <w:tcW w:w="1089" w:type="dxa"/>
            <w:vAlign w:val="center"/>
          </w:tcPr>
          <w:p>
            <w:r>
              <w:t>组员</w:t>
            </w:r>
          </w:p>
        </w:tc>
        <w:tc>
          <w:tcPr>
            <w:tcW w:w="711" w:type="dxa"/>
            <w:vAlign w:val="center"/>
          </w:tcPr>
          <w:p>
            <w:r>
              <w:t>女</w:t>
            </w:r>
          </w:p>
        </w:tc>
        <w:tc>
          <w:tcPr>
            <w:tcW w:w="3870" w:type="dxa"/>
            <w:vAlign w:val="center"/>
          </w:tcPr>
          <w:p>
            <w:r>
              <w:t>ISC-JSZJ-181</w:t>
            </w:r>
          </w:p>
          <w:p>
            <w:r>
              <w:t>湖北兴源倍沃得换热设备有限公司</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sym w:font="Wingdings 2" w:char="00A3"/>
            </w:r>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hint="default" w:ascii="宋体" w:eastAsia="宋体"/>
                <w:b/>
                <w:color w:val="0000FF"/>
                <w:szCs w:val="21"/>
                <w:lang w:val="en-US" w:eastAsia="zh-CN"/>
              </w:rPr>
            </w:pPr>
            <w:r>
              <w:rPr>
                <w:rFonts w:hint="eastAsia" w:ascii="宋体"/>
                <w:b/>
                <w:color w:val="0000FF"/>
                <w:szCs w:val="21"/>
              </w:rPr>
              <w:sym w:font="Wingdings 2" w:char="00A3"/>
            </w:r>
            <w:r>
              <w:rPr>
                <w:rFonts w:hint="eastAsia" w:ascii="宋体"/>
                <w:b/>
                <w:color w:val="0000FF"/>
                <w:szCs w:val="21"/>
              </w:rPr>
              <w:t>未发生</w:t>
            </w:r>
            <w:r>
              <w:rPr>
                <w:rFonts w:hint="eastAsia" w:ascii="宋体"/>
                <w:b/>
                <w:color w:val="0000FF"/>
                <w:szCs w:val="21"/>
              </w:rPr>
              <w:sym w:font="Wingdings 2" w:char="0052"/>
            </w:r>
            <w:r>
              <w:rPr>
                <w:rFonts w:hint="eastAsia" w:ascii="宋体"/>
                <w:b/>
                <w:color w:val="0000FF"/>
                <w:szCs w:val="21"/>
              </w:rPr>
              <w:t>有发生，说明：</w:t>
            </w:r>
            <w:r>
              <w:rPr>
                <w:rFonts w:hint="eastAsia" w:ascii="宋体"/>
                <w:b/>
                <w:color w:val="0000FF"/>
                <w:szCs w:val="21"/>
                <w:lang w:val="en-US" w:eastAsia="zh-CN"/>
              </w:rPr>
              <w:t>审核员因疫情原因</w:t>
            </w:r>
            <w:bookmarkStart w:id="34" w:name="_GoBack"/>
            <w:bookmarkEnd w:id="34"/>
            <w:r>
              <w:rPr>
                <w:rFonts w:hint="eastAsia" w:ascii="宋体"/>
                <w:b/>
                <w:color w:val="0000FF"/>
                <w:szCs w:val="21"/>
                <w:lang w:val="en-US" w:eastAsia="zh-CN"/>
              </w:rPr>
              <w:t>被封控，原计划2022.4.11.现场审核变更为2022.4.17.远程审核。</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方正仿宋简体" w:eastAsia="方正仿宋简体"/>
                <w:b/>
                <w:sz w:val="24"/>
              </w:rPr>
              <w:drawing>
                <wp:inline distT="0" distB="0" distL="114300" distR="114300">
                  <wp:extent cx="494030" cy="300990"/>
                  <wp:effectExtent l="0" t="0" r="8890" b="3810"/>
                  <wp:docPr id="1"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27f178761179e49e527589a9ef90"/>
                          <pic:cNvPicPr>
                            <a:picLocks noChangeAspect="1"/>
                          </pic:cNvPicPr>
                        </pic:nvPicPr>
                        <pic:blipFill>
                          <a:blip r:embed="rId6"/>
                          <a:stretch>
                            <a:fillRect/>
                          </a:stretch>
                        </pic:blipFill>
                        <pic:spPr>
                          <a:xfrm>
                            <a:off x="0" y="0"/>
                            <a:ext cx="494030" cy="300990"/>
                          </a:xfrm>
                          <a:prstGeom prst="rect">
                            <a:avLst/>
                          </a:prstGeom>
                          <a:noFill/>
                          <a:ln>
                            <a:noFill/>
                          </a:ln>
                        </pic:spPr>
                      </pic:pic>
                    </a:graphicData>
                  </a:graphic>
                </wp:inline>
              </w:drawing>
            </w:r>
          </w:p>
          <w:p/>
        </w:tc>
        <w:tc>
          <w:tcPr>
            <w:tcW w:w="2764" w:type="dxa"/>
            <w:tcMar>
              <w:left w:w="113" w:type="dxa"/>
            </w:tcMar>
          </w:tcPr>
          <w:p>
            <w:pPr>
              <w:rPr>
                <w:rFonts w:hint="eastAsia" w:eastAsia="宋体"/>
                <w:lang w:eastAsia="zh-CN"/>
              </w:rPr>
            </w:pPr>
            <w:r>
              <w:rPr>
                <w:rFonts w:hint="eastAsia"/>
              </w:rPr>
              <w:t>日期</w:t>
            </w:r>
            <w:r>
              <w:rPr>
                <w:rFonts w:hint="eastAsia"/>
                <w:lang w:eastAsia="zh-CN"/>
              </w:rPr>
              <w:t>：</w:t>
            </w:r>
            <w:r>
              <w:rPr>
                <w:rFonts w:hint="eastAsia" w:ascii="宋体"/>
                <w:b/>
                <w:color w:val="0000FF"/>
                <w:szCs w:val="21"/>
                <w:lang w:val="en-US" w:eastAsia="zh-CN"/>
              </w:rPr>
              <w:t>2022.4.17.</w:t>
            </w:r>
          </w:p>
        </w:tc>
        <w:tc>
          <w:tcPr>
            <w:tcW w:w="2766" w:type="dxa"/>
            <w:tcMar>
              <w:left w:w="113" w:type="dxa"/>
            </w:tcMar>
            <w:vAlign w:val="center"/>
          </w:tcPr>
          <w:p>
            <w:pPr>
              <w:rPr>
                <w:rFonts w:hint="default" w:ascii="宋体" w:eastAsia="宋体"/>
                <w:b/>
                <w:color w:val="0000FF"/>
                <w:szCs w:val="21"/>
                <w:lang w:val="en-US" w:eastAsia="zh-CN"/>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lang w:val="en-US" w:eastAsia="zh-CN"/>
              </w:rPr>
              <w:t>精益求精、质量第一、顾客满意。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管理层</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计划和任务定义不够充分</w:t>
                  </w:r>
                </w:p>
              </w:tc>
              <w:tc>
                <w:tcPr>
                  <w:tcW w:w="3965" w:type="dxa"/>
                </w:tcPr>
                <w:p>
                  <w:pPr>
                    <w:spacing w:line="300" w:lineRule="exact"/>
                    <w:jc w:val="left"/>
                    <w:rPr>
                      <w:rFonts w:hint="eastAsia"/>
                    </w:rPr>
                  </w:pPr>
                  <w:r>
                    <w:rPr>
                      <w:rFonts w:hint="eastAsia"/>
                    </w:rPr>
                    <w:t>明确规定前后顺序、明确职责权限、建立健全沟通机制（制度化）。</w:t>
                  </w:r>
                </w:p>
                <w:p>
                  <w:pPr>
                    <w:shd w:val="clear" w:color="auto" w:fill="C7DAF1" w:themeFill="text2" w:themeFillTint="32"/>
                  </w:pPr>
                  <w:r>
                    <w:rPr>
                      <w:rFonts w:hint="eastAsia"/>
                    </w:rPr>
                    <w:t>审时度势，果断机敏。</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产品一次交检合格率≥98%；</w:t>
                  </w:r>
                </w:p>
              </w:tc>
              <w:tc>
                <w:tcPr>
                  <w:tcW w:w="3136"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交检合格次数/交检总数</w:t>
                  </w: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US" w:eastAsia="zh-CN"/>
                    </w:rPr>
                    <w:t>品质部</w:t>
                  </w: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lang w:val="en-US" w:eastAsia="zh-CN"/>
                    </w:rPr>
                    <w:t>顾客满意率≥94分</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满意度调查</w:t>
                  </w:r>
                </w:p>
              </w:tc>
              <w:tc>
                <w:tcPr>
                  <w:tcW w:w="1350" w:type="dxa"/>
                  <w:shd w:val="clear" w:color="auto" w:fill="auto"/>
                  <w:vAlign w:val="center"/>
                </w:tcPr>
                <w:p>
                  <w:pPr>
                    <w:shd w:val="clear" w:color="auto" w:fill="C7DAF1" w:themeFill="text2" w:themeFillTint="32"/>
                    <w:rPr>
                      <w:rFonts w:ascii="宋体" w:hAnsi="宋体"/>
                    </w:rPr>
                  </w:pPr>
                  <w:r>
                    <w:rPr>
                      <w:rFonts w:hint="eastAsia"/>
                      <w:sz w:val="24"/>
                      <w:szCs w:val="24"/>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rFonts w:hint="eastAsia" w:ascii="Times New Roman" w:hAnsi="Times New Roman"/>
                <w:szCs w:val="20"/>
              </w:rPr>
            </w:pPr>
            <w:r>
              <w:rPr>
                <w:rFonts w:hint="eastAsia"/>
              </w:rPr>
              <w:t>主要生产设备有：</w:t>
            </w:r>
            <w:r>
              <w:rPr>
                <w:rFonts w:hint="eastAsia" w:ascii="Times New Roman" w:hAnsi="Times New Roman"/>
                <w:szCs w:val="20"/>
              </w:rPr>
              <w:t>数控车床</w:t>
            </w:r>
            <w:r>
              <w:rPr>
                <w:rFonts w:hint="eastAsia" w:ascii="Times New Roman" w:hAnsi="Times New Roman"/>
                <w:szCs w:val="20"/>
                <w:lang w:val="en-US" w:eastAsia="zh-CN"/>
              </w:rPr>
              <w:t>3</w:t>
            </w:r>
            <w:r>
              <w:rPr>
                <w:rFonts w:hint="eastAsia" w:ascii="Times New Roman" w:hAnsi="Times New Roman"/>
                <w:szCs w:val="20"/>
              </w:rPr>
              <w:t>2台、钻床</w:t>
            </w:r>
            <w:r>
              <w:rPr>
                <w:rFonts w:hint="eastAsia" w:ascii="Times New Roman" w:hAnsi="Times New Roman"/>
                <w:szCs w:val="20"/>
                <w:lang w:val="en-US" w:eastAsia="zh-CN"/>
              </w:rPr>
              <w:t>2台</w:t>
            </w:r>
            <w:r>
              <w:rPr>
                <w:rFonts w:hint="eastAsia" w:ascii="Times New Roman" w:hAnsi="Times New Roman"/>
                <w:szCs w:val="20"/>
              </w:rPr>
              <w:t>、加工中心</w:t>
            </w:r>
            <w:r>
              <w:rPr>
                <w:rFonts w:hint="eastAsia" w:ascii="Times New Roman" w:hAnsi="Times New Roman"/>
                <w:szCs w:val="20"/>
                <w:lang w:val="en-US" w:eastAsia="zh-CN"/>
              </w:rPr>
              <w:t>4</w:t>
            </w:r>
            <w:r>
              <w:rPr>
                <w:rFonts w:hint="eastAsia" w:ascii="Times New Roman" w:hAnsi="Times New Roman"/>
                <w:szCs w:val="20"/>
              </w:rPr>
              <w:t>台</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rFonts w:hint="eastAsia" w:ascii="宋体" w:hAnsi="宋体"/>
                    </w:rPr>
                    <w:t>轴承外圈</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无</w:t>
                  </w:r>
                </w:p>
              </w:tc>
              <w:tc>
                <w:tcPr>
                  <w:tcW w:w="3265" w:type="dxa"/>
                </w:tcPr>
                <w:p>
                  <w:pPr>
                    <w:shd w:val="clear" w:color="auto" w:fill="C7DAF1" w:themeFill="text2" w:themeFillTint="32"/>
                    <w:jc w:val="left"/>
                  </w:pPr>
                  <w:r>
                    <w:rPr>
                      <w:rFonts w:hint="eastAsia" w:ascii="宋体" w:hAnsi="宋体"/>
                    </w:rPr>
                    <w:t>车外径</w:t>
                  </w:r>
                  <w:r>
                    <w:rPr>
                      <w:rFonts w:hint="eastAsia" w:ascii="宋体" w:hAnsi="宋体"/>
                    </w:rPr>
                    <w:tab/>
                  </w:r>
                  <w:r>
                    <w:rPr>
                      <w:rFonts w:hint="eastAsia" w:ascii="宋体" w:hAnsi="宋体"/>
                    </w:rPr>
                    <w:t>￠74.4 (0～+0.08)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rPr>
                    <w:t>汽车轮毂单元</w:t>
                  </w:r>
                </w:p>
              </w:tc>
              <w:tc>
                <w:tcPr>
                  <w:tcW w:w="3665" w:type="dxa"/>
                </w:tcPr>
                <w:p>
                  <w:pPr>
                    <w:shd w:val="clear" w:color="auto" w:fill="C7DAF1" w:themeFill="text2" w:themeFillTint="32"/>
                    <w:jc w:val="left"/>
                  </w:pPr>
                  <w:r>
                    <w:rPr>
                      <w:rFonts w:hint="eastAsia"/>
                      <w:lang w:val="en-US" w:eastAsia="zh-CN"/>
                    </w:rPr>
                    <w:t>无</w:t>
                  </w:r>
                </w:p>
              </w:tc>
              <w:tc>
                <w:tcPr>
                  <w:tcW w:w="3265" w:type="dxa"/>
                </w:tcPr>
                <w:p>
                  <w:pPr>
                    <w:shd w:val="clear" w:color="auto" w:fill="C7DAF1" w:themeFill="text2" w:themeFillTint="32"/>
                    <w:jc w:val="left"/>
                  </w:pPr>
                  <w:r>
                    <w:rPr>
                      <w:rFonts w:hint="default" w:ascii="宋体" w:hAnsi="宋体"/>
                      <w:lang w:val="en-US" w:eastAsia="zh-CN"/>
                    </w:rPr>
                    <w:t>车内径</w:t>
                  </w:r>
                  <w:r>
                    <w:rPr>
                      <w:rFonts w:hint="default" w:ascii="宋体" w:hAnsi="宋体"/>
                      <w:lang w:val="en-US" w:eastAsia="zh-CN"/>
                    </w:rPr>
                    <w:tab/>
                  </w:r>
                  <w:r>
                    <w:rPr>
                      <w:rFonts w:hint="default" w:ascii="宋体" w:hAnsi="宋体"/>
                      <w:lang w:val="en-US" w:eastAsia="zh-CN"/>
                    </w:rPr>
                    <w:t>￠58.5（0-0.1）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行为、专业素养</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F14E3"/>
    <w:rsid w:val="04251A8C"/>
    <w:rsid w:val="04461F7D"/>
    <w:rsid w:val="05C12790"/>
    <w:rsid w:val="074A1D85"/>
    <w:rsid w:val="09802866"/>
    <w:rsid w:val="0CAB4FD6"/>
    <w:rsid w:val="0D663C3A"/>
    <w:rsid w:val="114D48F6"/>
    <w:rsid w:val="15D02ED2"/>
    <w:rsid w:val="16292203"/>
    <w:rsid w:val="16E2350D"/>
    <w:rsid w:val="18E37D55"/>
    <w:rsid w:val="1C4A3779"/>
    <w:rsid w:val="1FA871F0"/>
    <w:rsid w:val="21EC270E"/>
    <w:rsid w:val="22DC4289"/>
    <w:rsid w:val="233D0598"/>
    <w:rsid w:val="272262C9"/>
    <w:rsid w:val="291458F7"/>
    <w:rsid w:val="2D5D318B"/>
    <w:rsid w:val="2D6706EB"/>
    <w:rsid w:val="2E3D769E"/>
    <w:rsid w:val="2EB76944"/>
    <w:rsid w:val="2F394B1D"/>
    <w:rsid w:val="304445D6"/>
    <w:rsid w:val="311E4488"/>
    <w:rsid w:val="31E00A6C"/>
    <w:rsid w:val="333450F4"/>
    <w:rsid w:val="33C160B6"/>
    <w:rsid w:val="33FF5E8D"/>
    <w:rsid w:val="36C52924"/>
    <w:rsid w:val="36EB6463"/>
    <w:rsid w:val="38327B47"/>
    <w:rsid w:val="38D17360"/>
    <w:rsid w:val="39E22550"/>
    <w:rsid w:val="3E2801F3"/>
    <w:rsid w:val="3EB63932"/>
    <w:rsid w:val="3FC65745"/>
    <w:rsid w:val="401C5365"/>
    <w:rsid w:val="408C2200"/>
    <w:rsid w:val="42AE07D4"/>
    <w:rsid w:val="497F395B"/>
    <w:rsid w:val="4C97391F"/>
    <w:rsid w:val="4E33247C"/>
    <w:rsid w:val="4EF474AD"/>
    <w:rsid w:val="4FBD2C29"/>
    <w:rsid w:val="504337B2"/>
    <w:rsid w:val="50BE5FC4"/>
    <w:rsid w:val="5184720E"/>
    <w:rsid w:val="52946694"/>
    <w:rsid w:val="576544C0"/>
    <w:rsid w:val="591B3EBC"/>
    <w:rsid w:val="59883E35"/>
    <w:rsid w:val="5D0D17BC"/>
    <w:rsid w:val="5FA63DE3"/>
    <w:rsid w:val="628232F6"/>
    <w:rsid w:val="651D70C3"/>
    <w:rsid w:val="665C20CC"/>
    <w:rsid w:val="69530D53"/>
    <w:rsid w:val="6B654C0B"/>
    <w:rsid w:val="6CED1CB3"/>
    <w:rsid w:val="6F941206"/>
    <w:rsid w:val="711A6D17"/>
    <w:rsid w:val="71C01745"/>
    <w:rsid w:val="72AD09D3"/>
    <w:rsid w:val="74941AE2"/>
    <w:rsid w:val="75181898"/>
    <w:rsid w:val="75591CA7"/>
    <w:rsid w:val="759C1F0C"/>
    <w:rsid w:val="788A2AAC"/>
    <w:rsid w:val="79B55907"/>
    <w:rsid w:val="79B64503"/>
    <w:rsid w:val="7B3A2568"/>
    <w:rsid w:val="7C1D1542"/>
    <w:rsid w:val="7C3C7373"/>
    <w:rsid w:val="7CDF5545"/>
    <w:rsid w:val="7DA74646"/>
    <w:rsid w:val="7DB32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0"/>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customStyle="1" w:styleId="14">
    <w:name w:val="页眉 Char"/>
    <w:qFormat/>
    <w:uiPriority w:val="0"/>
    <w:rPr>
      <w:kern w:val="2"/>
      <w:sz w:val="18"/>
      <w:szCs w:val="18"/>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13</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2022-04-22T04:55:49Z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