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河北钦芃新型建材有限公司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喻荣秋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李俐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