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7"/>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无锡京运通科技有限公司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EnMS勾选"/>
            <w:r>
              <w:rPr>
                <w:rFonts w:hint="eastAsia"/>
                <w:b/>
                <w:szCs w:val="21"/>
              </w:rPr>
              <w:t>□</w:t>
            </w:r>
            <w:bookmarkEnd w:id="5"/>
            <w:r>
              <w:rPr>
                <w:b/>
                <w:spacing w:val="-2"/>
                <w:szCs w:val="21"/>
              </w:rPr>
              <w:t>E</w:t>
            </w:r>
            <w:r>
              <w:rPr>
                <w:rFonts w:hint="eastAsia"/>
                <w:b/>
                <w:spacing w:val="-2"/>
                <w:szCs w:val="21"/>
              </w:rPr>
              <w:t>n</w:t>
            </w:r>
            <w:r>
              <w:rPr>
                <w:b/>
                <w:spacing w:val="-2"/>
                <w:szCs w:val="21"/>
              </w:rPr>
              <w:t>MS</w:t>
            </w:r>
            <w:bookmarkStart w:id="6" w:name="F勾选"/>
            <w:r>
              <w:rPr>
                <w:rFonts w:hint="eastAsia" w:cs="宋体"/>
                <w:b/>
                <w:szCs w:val="21"/>
              </w:rPr>
              <w:t>□</w:t>
            </w:r>
            <w:bookmarkEnd w:id="6"/>
            <w:r>
              <w:rPr>
                <w:rFonts w:hint="eastAsia" w:ascii="宋体" w:hAnsi="宋体"/>
                <w:szCs w:val="21"/>
              </w:rPr>
              <w:t xml:space="preserve">FSMS </w:t>
            </w:r>
            <w:bookmarkStart w:id="7" w:name="H勾选"/>
            <w:r>
              <w:rPr>
                <w:rFonts w:hint="eastAsia" w:cs="宋体"/>
                <w:b/>
                <w:szCs w:val="21"/>
              </w:rPr>
              <w:t>□</w:t>
            </w:r>
            <w:bookmarkEnd w:id="7"/>
            <w:r>
              <w:rPr>
                <w:rFonts w:hint="eastAsia" w:ascii="宋体" w:hAnsi="宋体"/>
                <w:szCs w:val="21"/>
              </w:rPr>
              <w:t>HACCP</w:t>
            </w:r>
          </w:p>
          <w:p>
            <w:bookmarkStart w:id="8" w:name="初审"/>
            <w:r>
              <w:rPr>
                <w:rFonts w:hint="eastAsia"/>
                <w:b/>
                <w:szCs w:val="21"/>
              </w:rPr>
              <w:t>■</w:t>
            </w:r>
            <w:bookmarkEnd w:id="8"/>
            <w:r>
              <w:rPr>
                <w:rFonts w:hint="eastAsia"/>
                <w:b/>
                <w:szCs w:val="21"/>
              </w:rPr>
              <w:t>初审□第(  )阶段审核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rPr>
                <w:rFonts w:hint="default" w:ascii="方正仿宋简体" w:hAnsi="Times New Roman" w:eastAsia="方正仿宋简体" w:cs="Times New Roman"/>
                <w:b/>
                <w:szCs w:val="21"/>
                <w:lang w:val="en-US" w:eastAsia="zh-CN"/>
              </w:rPr>
            </w:pPr>
            <w:r>
              <w:rPr>
                <w:rFonts w:hint="eastAsia" w:ascii="方正仿宋简体" w:hAnsi="Times New Roman" w:eastAsia="方正仿宋简体" w:cs="Times New Roman"/>
                <w:b/>
                <w:szCs w:val="21"/>
                <w:lang w:val="en-US" w:eastAsia="zh-CN"/>
              </w:rPr>
              <w:t>查企业2021年综合能耗指标设定为6000，实际完成为7391.542，未完成。未分析原因，已与企业进行沟通，并建议企业对能源基准发生变化时应及时评价能源基准并进行归一化</w:t>
            </w:r>
          </w:p>
          <w:p>
            <w:pPr>
              <w:jc w:val="center"/>
              <w:rPr>
                <w:rFonts w:ascii="方正仿宋简体" w:eastAsia="方正仿宋简体"/>
                <w:b/>
              </w:rPr>
            </w:pPr>
          </w:p>
        </w:tc>
        <w:tc>
          <w:tcPr>
            <w:tcW w:w="2033" w:type="dxa"/>
            <w:tcBorders>
              <w:left w:val="single" w:color="auto" w:sz="4" w:space="0"/>
            </w:tcBorders>
            <w:vAlign w:val="center"/>
          </w:tcPr>
          <w:p>
            <w:pPr>
              <w:jc w:val="center"/>
              <w:rPr>
                <w:rFonts w:hint="default" w:ascii="方正仿宋简体" w:eastAsia="方正仿宋简体"/>
                <w:b/>
                <w:lang w:val="en-US" w:eastAsia="zh-CN"/>
              </w:rPr>
            </w:pPr>
            <w:r>
              <w:rPr>
                <w:rFonts w:hint="eastAsia" w:ascii="Times New Roman" w:hAnsi="Times New Roman" w:eastAsia="宋体" w:cs="Times New Roman"/>
                <w:lang w:val="en-US" w:eastAsia="zh-CN"/>
              </w:rPr>
              <w:t>下次审核时关注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1"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2</w:t>
            </w:r>
          </w:p>
        </w:tc>
        <w:tc>
          <w:tcPr>
            <w:tcW w:w="6990" w:type="dxa"/>
            <w:gridSpan w:val="2"/>
            <w:tcBorders>
              <w:left w:val="single" w:color="auto" w:sz="4" w:space="0"/>
              <w:right w:val="single" w:color="auto" w:sz="4" w:space="0"/>
            </w:tcBorders>
            <w:vAlign w:val="center"/>
          </w:tcPr>
          <w:p>
            <w:r>
              <w:rPr>
                <w:rFonts w:hint="default" w:ascii="方正仿宋简体" w:hAnsi="Times New Roman" w:eastAsia="方正仿宋简体" w:cs="Times New Roman"/>
                <w:b/>
                <w:szCs w:val="21"/>
                <w:lang w:val="en-US" w:eastAsia="zh-CN"/>
              </w:rPr>
              <w:t>未能提供能源计量器具一级电表和一级水表的检定</w:t>
            </w:r>
            <w:r>
              <w:rPr>
                <w:rFonts w:hint="eastAsia" w:ascii="方正仿宋简体" w:eastAsia="方正仿宋简体" w:cs="Times New Roman"/>
                <w:b/>
                <w:szCs w:val="21"/>
                <w:lang w:val="en-US" w:eastAsia="zh-CN"/>
              </w:rPr>
              <w:t>/校准</w:t>
            </w:r>
            <w:r>
              <w:rPr>
                <w:rFonts w:hint="default" w:ascii="方正仿宋简体" w:hAnsi="Times New Roman" w:eastAsia="方正仿宋简体" w:cs="Times New Roman"/>
                <w:b/>
                <w:szCs w:val="21"/>
                <w:lang w:val="en-US" w:eastAsia="zh-CN"/>
              </w:rPr>
              <w:t>证据（各一块）。据企业介绍</w:t>
            </w:r>
            <w:r>
              <w:rPr>
                <w:rFonts w:hint="eastAsia" w:ascii="方正仿宋简体" w:eastAsia="方正仿宋简体" w:cs="Times New Roman"/>
                <w:b/>
                <w:szCs w:val="21"/>
                <w:lang w:val="en-US" w:eastAsia="zh-CN"/>
              </w:rPr>
              <w:t>由</w:t>
            </w:r>
            <w:r>
              <w:rPr>
                <w:rFonts w:hint="default" w:ascii="方正仿宋简体" w:hAnsi="Times New Roman" w:eastAsia="方正仿宋简体" w:cs="Times New Roman"/>
                <w:b/>
                <w:szCs w:val="21"/>
                <w:lang w:val="en-US" w:eastAsia="zh-CN"/>
              </w:rPr>
              <w:t>供方进行检定</w:t>
            </w:r>
            <w:r>
              <w:rPr>
                <w:rFonts w:hint="eastAsia" w:ascii="方正仿宋简体" w:eastAsia="方正仿宋简体" w:cs="Times New Roman"/>
                <w:b/>
                <w:szCs w:val="21"/>
                <w:lang w:val="en-US" w:eastAsia="zh-CN"/>
              </w:rPr>
              <w:t>/校准</w:t>
            </w:r>
            <w:r>
              <w:rPr>
                <w:rFonts w:hint="default" w:ascii="方正仿宋简体" w:hAnsi="Times New Roman" w:eastAsia="方正仿宋简体" w:cs="Times New Roman"/>
                <w:b/>
                <w:szCs w:val="21"/>
                <w:lang w:val="en-US" w:eastAsia="zh-CN"/>
              </w:rPr>
              <w:t>，建议企业与供方进行沟通获取相关证据</w:t>
            </w:r>
            <w:r>
              <w:rPr>
                <w:rFonts w:hint="eastAsia" w:ascii="方正仿宋简体" w:eastAsia="方正仿宋简体" w:cs="Times New Roman"/>
                <w:b/>
                <w:szCs w:val="21"/>
                <w:lang w:val="en-US" w:eastAsia="zh-CN"/>
              </w:rPr>
              <w:t>。</w:t>
            </w:r>
          </w:p>
        </w:tc>
        <w:tc>
          <w:tcPr>
            <w:tcW w:w="2033" w:type="dxa"/>
            <w:tcBorders>
              <w:left w:val="single" w:color="auto" w:sz="4" w:space="0"/>
            </w:tcBorders>
            <w:vAlign w:val="center"/>
          </w:tcPr>
          <w:p>
            <w:pPr>
              <w:jc w:val="center"/>
              <w:rPr>
                <w:rFonts w:hint="default" w:eastAsia="宋体"/>
                <w:lang w:val="en-US" w:eastAsia="zh-CN"/>
              </w:rPr>
            </w:pPr>
            <w:r>
              <w:rPr>
                <w:rFonts w:hint="eastAsia"/>
                <w:lang w:val="en-US" w:eastAsia="zh-CN"/>
              </w:rPr>
              <w:t>下次审核时关注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7"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3</w:t>
            </w:r>
          </w:p>
        </w:tc>
        <w:tc>
          <w:tcPr>
            <w:tcW w:w="6990" w:type="dxa"/>
            <w:gridSpan w:val="2"/>
            <w:tcBorders>
              <w:left w:val="single" w:color="auto" w:sz="4" w:space="0"/>
              <w:right w:val="single" w:color="auto" w:sz="4" w:space="0"/>
            </w:tcBorders>
            <w:vAlign w:val="center"/>
          </w:tcPr>
          <w:p>
            <w:pPr>
              <w:jc w:val="left"/>
              <w:rPr>
                <w:rFonts w:hint="default" w:ascii="方正仿宋简体" w:hAnsi="Times New Roman" w:eastAsia="方正仿宋简体" w:cs="Times New Roman"/>
                <w:b/>
                <w:kern w:val="2"/>
                <w:sz w:val="21"/>
                <w:szCs w:val="21"/>
                <w:lang w:val="en-US" w:eastAsia="zh-CN" w:bidi="ar-SA"/>
              </w:rPr>
            </w:pPr>
            <w:r>
              <w:rPr>
                <w:rFonts w:hint="eastAsia" w:ascii="方正仿宋简体" w:eastAsia="方正仿宋简体" w:cs="Times New Roman"/>
                <w:b/>
                <w:szCs w:val="21"/>
                <w:lang w:val="en-US" w:eastAsia="zh-CN"/>
              </w:rPr>
              <w:t>查阅编号为：En-JL-4.4.2《适用的法律法规和其他要求清单》，未能将标准GB∕T 36713-2018《 能源管理体系 能源基准和能源绩效参数》、江苏省地方法规《关于印发江苏省固定资产投资项目节能审查实施办法的通知 苏发改规发〔2017〕1号》和《关于印发固定资产投资项目节能审查实施办法的通知》（锡发改资环〔2017〕8号）进行识别收集，也未将GB/T 13234-2009《企业能量计算方法》标准进行更新收集。</w:t>
            </w:r>
          </w:p>
        </w:tc>
        <w:tc>
          <w:tcPr>
            <w:tcW w:w="2033" w:type="dxa"/>
            <w:tcBorders>
              <w:left w:val="single" w:color="auto" w:sz="4" w:space="0"/>
            </w:tcBorders>
            <w:vAlign w:val="center"/>
          </w:tcPr>
          <w:p>
            <w:pPr>
              <w:jc w:val="center"/>
            </w:pPr>
            <w:r>
              <w:rPr>
                <w:rFonts w:hint="eastAsia"/>
                <w:lang w:val="en-US" w:eastAsia="zh-CN"/>
              </w:rPr>
              <w:t>下次审核时关注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7" w:hRule="exact"/>
          <w:jc w:val="center"/>
        </w:trPr>
        <w:tc>
          <w:tcPr>
            <w:tcW w:w="900" w:type="dxa"/>
            <w:tcBorders>
              <w:right w:val="single" w:color="auto" w:sz="4" w:space="0"/>
            </w:tcBorders>
            <w:vAlign w:val="center"/>
          </w:tcPr>
          <w:p>
            <w:pPr>
              <w:jc w:val="center"/>
            </w:pPr>
          </w:p>
        </w:tc>
        <w:tc>
          <w:tcPr>
            <w:tcW w:w="6990" w:type="dxa"/>
            <w:gridSpan w:val="2"/>
            <w:tcBorders>
              <w:left w:val="single" w:color="auto" w:sz="4" w:space="0"/>
              <w:right w:val="single" w:color="auto" w:sz="4" w:space="0"/>
            </w:tcBorders>
            <w:vAlign w:val="center"/>
          </w:tcPr>
          <w:p>
            <w:pPr>
              <w:jc w:val="left"/>
              <w:rPr>
                <w:rFonts w:hint="default" w:ascii="方正仿宋简体" w:hAnsi="Times New Roman" w:eastAsia="方正仿宋简体" w:cs="Times New Roman"/>
                <w:b/>
                <w:kern w:val="2"/>
                <w:sz w:val="21"/>
                <w:szCs w:val="21"/>
                <w:lang w:val="en-US" w:eastAsia="zh-CN" w:bidi="ar-SA"/>
              </w:rPr>
            </w:pPr>
          </w:p>
        </w:tc>
        <w:tc>
          <w:tcPr>
            <w:tcW w:w="2033" w:type="dxa"/>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p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bookmarkStart w:id="13" w:name="_GoBack"/>
            <w:bookmarkEnd w:id="13"/>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sz w:val="18"/>
      </w:rPr>
    </w:pPr>
    <w:r>
      <w:drawing>
        <wp:anchor distT="0" distB="0" distL="114300" distR="114300" simplePos="0" relativeHeight="251662336"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94pt;margin-top:11.35pt;height:19.9pt;width:95.7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ISC-B-II-18(05版）</w:t>
                </w:r>
              </w:p>
            </w:txbxContent>
          </v:textbox>
        </v:shape>
      </w:pict>
    </w:r>
    <w:r>
      <w:rPr>
        <w:rStyle w:val="12"/>
        <w:rFonts w:hint="default"/>
        <w:sz w:val="18"/>
      </w:rPr>
      <w:t>北京国标联合认证有限公司</w:t>
    </w:r>
    <w:r>
      <w:rPr>
        <w:rStyle w:val="12"/>
        <w:rFonts w:hint="default"/>
        <w:sz w:val="18"/>
      </w:rPr>
      <w:tab/>
    </w:r>
    <w:r>
      <w:rPr>
        <w:rStyle w:val="12"/>
        <w:rFonts w:hint="default"/>
        <w:sz w:val="18"/>
      </w:rPr>
      <w:tab/>
    </w:r>
    <w:r>
      <w:rPr>
        <w:rStyle w:val="12"/>
        <w:rFonts w:hint="default"/>
        <w:sz w:val="18"/>
      </w:rPr>
      <w:tab/>
    </w:r>
  </w:p>
  <w:p>
    <w:pPr>
      <w:pStyle w:val="5"/>
      <w:pBdr>
        <w:bottom w:val="single" w:color="auto" w:sz="4" w:space="1"/>
      </w:pBdr>
      <w:spacing w:line="320" w:lineRule="exact"/>
      <w:ind w:firstLine="727" w:firstLineChars="449"/>
      <w:jc w:val="left"/>
    </w:pPr>
    <w:r>
      <w:rPr>
        <w:rStyle w:val="12"/>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611ED4"/>
    <w:rsid w:val="4F2C4FF9"/>
    <w:rsid w:val="701F0EDD"/>
    <w:rsid w:val="7EB82D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5"/>
    <w:qFormat/>
    <w:uiPriority w:val="99"/>
    <w:rPr>
      <w:rFonts w:ascii="Times New Roman" w:hAnsi="Times New Roman" w:eastAsia="宋体" w:cs="Times New Roman"/>
      <w:kern w:val="2"/>
      <w:sz w:val="18"/>
      <w:szCs w:val="18"/>
    </w:rPr>
  </w:style>
  <w:style w:type="character" w:customStyle="1" w:styleId="11">
    <w:name w:val="页脚 Char"/>
    <w:basedOn w:val="8"/>
    <w:link w:val="4"/>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0</TotalTime>
  <ScaleCrop>false</ScaleCrop>
  <LinksUpToDate>false</LinksUpToDate>
  <CharactersWithSpaces>192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丽英</cp:lastModifiedBy>
  <dcterms:modified xsi:type="dcterms:W3CDTF">2022-04-30T23:12:50Z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2052-11.1.0.10314</vt:lpwstr>
  </property>
</Properties>
</file>