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0317-2021-EnMS-2022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苏州贝斯特装饰新材料有限公司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R197EnMS210017</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91320585757962797X</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328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苏州贝斯特装饰新材料有限公司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功能性树脂装饰材料的研发及生产所涉及的相关能源管理活动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太仓市双凤镇新湖温州路22号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hint="eastAsia"/>
                <w:sz w:val="22"/>
                <w:szCs w:val="22"/>
                <w:lang w:val="en-GB"/>
              </w:rPr>
              <w:t>太仓市双凤</w:t>
            </w:r>
            <w:bookmarkStart w:id="23" w:name="_GoBack"/>
            <w:bookmarkEnd w:id="23"/>
            <w:r>
              <w:rPr>
                <w:rFonts w:hint="eastAsia"/>
                <w:sz w:val="22"/>
                <w:szCs w:val="22"/>
                <w:lang w:val="en-GB"/>
              </w:rPr>
              <w:t>镇新湖温州路22号</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宋体" w:hAnsi="宋体"/>
                <w:sz w:val="21"/>
                <w:lang w:val="en-US" w:eastAsia="zh-CN"/>
              </w:rPr>
              <w:drawing>
                <wp:anchor distT="0" distB="0" distL="114300" distR="114300" simplePos="0" relativeHeight="251659264" behindDoc="0" locked="0" layoutInCell="1" allowOverlap="1">
                  <wp:simplePos x="0" y="0"/>
                  <wp:positionH relativeFrom="column">
                    <wp:posOffset>90170</wp:posOffset>
                  </wp:positionH>
                  <wp:positionV relativeFrom="paragraph">
                    <wp:posOffset>177165</wp:posOffset>
                  </wp:positionV>
                  <wp:extent cx="792480" cy="372110"/>
                  <wp:effectExtent l="0" t="0" r="7620" b="8890"/>
                  <wp:wrapSquare wrapText="bothSides"/>
                  <wp:docPr id="1"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e01075ba2fecce7a326c4f9b0d154f"/>
                          <pic:cNvPicPr>
                            <a:picLocks noChangeAspect="1"/>
                          </pic:cNvPicPr>
                        </pic:nvPicPr>
                        <pic:blipFill>
                          <a:blip r:embed="rId5"/>
                          <a:stretch>
                            <a:fillRect/>
                          </a:stretch>
                        </pic:blipFill>
                        <pic:spPr>
                          <a:xfrm>
                            <a:off x="0" y="0"/>
                            <a:ext cx="792480" cy="372110"/>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7"/>
              <w:spacing w:before="0" w:after="0"/>
              <w:jc w:val="left"/>
              <w:rPr>
                <w:rFonts w:cs="Arial"/>
                <w:b/>
                <w:bCs/>
                <w:sz w:val="22"/>
                <w:szCs w:val="22"/>
              </w:rPr>
            </w:pPr>
            <w:r>
              <w:rPr>
                <w:rFonts w:hint="eastAsia" w:cs="Arial"/>
                <w:b/>
                <w:bCs/>
                <w:sz w:val="22"/>
                <w:szCs w:val="22"/>
              </w:rPr>
              <w:t>公司名称 - 总部</w:t>
            </w:r>
          </w:p>
          <w:p>
            <w:pPr>
              <w:pStyle w:val="17"/>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HQ</w:t>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7"/>
              <w:spacing w:before="0" w:after="0"/>
              <w:jc w:val="left"/>
              <w:rPr>
                <w:rFonts w:cs="Arial"/>
                <w:b/>
                <w:bCs/>
                <w:sz w:val="22"/>
                <w:szCs w:val="22"/>
              </w:rPr>
            </w:pPr>
            <w:r>
              <w:rPr>
                <w:rFonts w:hint="eastAsia" w:cs="Arial"/>
                <w:b/>
                <w:bCs/>
                <w:sz w:val="22"/>
                <w:szCs w:val="22"/>
              </w:rPr>
              <w:t>注册地址：</w:t>
            </w:r>
          </w:p>
          <w:p>
            <w:pPr>
              <w:pStyle w:val="17"/>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7"/>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苏州贝斯特装饰新材料有限公司</w:t>
      </w:r>
      <w:bookmarkEnd w:id="20"/>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21" w:name="证书编号Add1"/>
      <w:r>
        <w:rPr>
          <w:b/>
          <w:color w:val="000000" w:themeColor="text1"/>
          <w:sz w:val="22"/>
          <w:szCs w:val="22"/>
        </w:rPr>
        <w:t>R197EnMS210017</w:t>
      </w:r>
      <w:bookmarkEnd w:id="21"/>
    </w:p>
    <w:p>
      <w:pPr>
        <w:pStyle w:val="3"/>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太仓市双凤镇新湖温州路22号</w:t>
      </w:r>
      <w:bookmarkEnd w:id="22"/>
    </w:p>
    <w:p>
      <w:pPr>
        <w:pStyle w:val="3"/>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3"/>
        <w:spacing w:line="400" w:lineRule="exact"/>
        <w:ind w:firstLine="1460" w:firstLineChars="661"/>
        <w:rPr>
          <w:rFonts w:hint="eastAsia" w:ascii="宋体" w:hAnsi="宋体" w:eastAsia="宋体" w:cs="Times New Roman"/>
          <w:b/>
          <w:sz w:val="21"/>
          <w:szCs w:val="21"/>
          <w:lang w:val="de-DE"/>
        </w:rPr>
      </w:pPr>
      <w:r>
        <w:rPr>
          <w:rFonts w:hint="eastAsia"/>
          <w:b/>
          <w:color w:val="000000" w:themeColor="text1"/>
          <w:sz w:val="22"/>
          <w:szCs w:val="22"/>
        </w:rPr>
        <w:t>&amp;</w:t>
      </w:r>
      <w:r>
        <w:rPr>
          <w:rFonts w:hint="eastAsia" w:ascii="宋体" w:hAnsi="宋体" w:eastAsia="宋体" w:cs="Times New Roman"/>
          <w:b/>
          <w:sz w:val="21"/>
          <w:szCs w:val="21"/>
          <w:lang w:val="de-DE"/>
        </w:rPr>
        <w:t>RB/T114-2014《能源管理体系 纯碱、焦化、橡塑制品、制药等化工企业认证要求》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noWrap w:val="0"/>
            <w:vAlign w:val="top"/>
          </w:tcPr>
          <w:p>
            <w:pPr>
              <w:pStyle w:val="3"/>
              <w:spacing w:line="400" w:lineRule="exact"/>
              <w:ind w:firstLine="0"/>
              <w:jc w:val="center"/>
              <w:rPr>
                <w:rFonts w:ascii="宋体" w:hAnsi="宋体"/>
                <w:b/>
                <w:color w:val="000000"/>
                <w:sz w:val="24"/>
                <w:szCs w:val="24"/>
              </w:rPr>
            </w:pPr>
            <w:r>
              <w:rPr>
                <w:rFonts w:hint="eastAsia" w:ascii="宋体" w:hAnsi="宋体"/>
                <w:b/>
                <w:color w:val="000000"/>
                <w:sz w:val="24"/>
                <w:szCs w:val="24"/>
              </w:rPr>
              <w:t>审核类型及时间</w:t>
            </w:r>
          </w:p>
        </w:tc>
        <w:tc>
          <w:tcPr>
            <w:tcW w:w="4735" w:type="dxa"/>
            <w:noWrap w:val="0"/>
            <w:vAlign w:val="top"/>
          </w:tcPr>
          <w:p>
            <w:pPr>
              <w:pStyle w:val="3"/>
              <w:spacing w:line="400" w:lineRule="exact"/>
              <w:ind w:firstLine="0"/>
              <w:jc w:val="center"/>
              <w:rPr>
                <w:rFonts w:ascii="宋体" w:hAnsi="宋体"/>
                <w:b/>
                <w:color w:val="000000"/>
                <w:sz w:val="24"/>
                <w:szCs w:val="24"/>
              </w:rPr>
            </w:pPr>
            <w:r>
              <w:rPr>
                <w:rFonts w:hint="eastAsia" w:ascii="宋体" w:hAnsi="宋体"/>
                <w:b/>
                <w:color w:val="000000"/>
                <w:sz w:val="24"/>
                <w:szCs w:val="24"/>
              </w:rPr>
              <w:t>能</w:t>
            </w:r>
            <w:r>
              <w:rPr>
                <w:rFonts w:hint="eastAsia" w:ascii="宋体" w:hAnsi="宋体"/>
                <w:b/>
                <w:color w:val="000000"/>
                <w:sz w:val="24"/>
                <w:szCs w:val="24"/>
                <w:lang w:val="en-US" w:eastAsia="zh-CN"/>
              </w:rPr>
              <w:t>源</w:t>
            </w:r>
            <w:r>
              <w:rPr>
                <w:rFonts w:hint="eastAsia" w:ascii="宋体" w:hAnsi="宋体"/>
                <w:b/>
                <w:color w:val="000000"/>
                <w:sz w:val="24"/>
                <w:szCs w:val="24"/>
              </w:rPr>
              <w:t>数据</w:t>
            </w:r>
          </w:p>
        </w:tc>
        <w:tc>
          <w:tcPr>
            <w:tcW w:w="2835" w:type="dxa"/>
            <w:noWrap w:val="0"/>
            <w:vAlign w:val="top"/>
          </w:tcPr>
          <w:p>
            <w:pPr>
              <w:pStyle w:val="3"/>
              <w:spacing w:line="400" w:lineRule="exact"/>
              <w:ind w:firstLine="0"/>
              <w:jc w:val="center"/>
              <w:rPr>
                <w:rFonts w:ascii="宋体" w:hAnsi="宋体"/>
                <w:b/>
                <w:color w:val="000000"/>
                <w:sz w:val="24"/>
                <w:szCs w:val="24"/>
              </w:rPr>
            </w:pPr>
            <w:r>
              <w:rPr>
                <w:rFonts w:hint="eastAsia" w:ascii="宋体" w:hAnsi="宋体"/>
                <w:b/>
                <w:color w:val="000000"/>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036" w:type="dxa"/>
            <w:vMerge w:val="restart"/>
            <w:noWrap w:val="0"/>
            <w:vAlign w:val="top"/>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5</w:t>
            </w:r>
            <w:r>
              <w:rPr>
                <w:rFonts w:hint="eastAsia"/>
                <w:sz w:val="20"/>
                <w:szCs w:val="22"/>
              </w:rPr>
              <w:t>月</w:t>
            </w:r>
          </w:p>
          <w:p>
            <w:pPr>
              <w:pStyle w:val="3"/>
              <w:spacing w:line="400" w:lineRule="exact"/>
              <w:ind w:firstLine="0"/>
              <w:rPr>
                <w:rFonts w:hint="default" w:ascii="宋体" w:hAnsi="宋体" w:eastAsia="宋体"/>
                <w:b/>
                <w:color w:val="000000"/>
                <w:sz w:val="24"/>
                <w:szCs w:val="24"/>
                <w:lang w:val="en-US" w:eastAsia="zh-CN"/>
              </w:rPr>
            </w:pPr>
            <w:r>
              <w:rPr>
                <w:rFonts w:hint="eastAsia"/>
                <w:sz w:val="20"/>
                <w:szCs w:val="22"/>
                <w:lang w:val="en-US" w:eastAsia="zh-CN"/>
              </w:rPr>
              <w:t>9</w:t>
            </w:r>
            <w:r>
              <w:rPr>
                <w:rFonts w:hint="eastAsia" w:ascii="仿宋" w:hAnsi="仿宋" w:eastAsia="仿宋" w:cs="仿宋"/>
                <w:sz w:val="20"/>
                <w:szCs w:val="22"/>
              </w:rPr>
              <w:t>～</w:t>
            </w:r>
            <w:r>
              <w:rPr>
                <w:rFonts w:hint="eastAsia"/>
                <w:sz w:val="20"/>
                <w:szCs w:val="22"/>
                <w:lang w:val="en-US" w:eastAsia="zh-CN"/>
              </w:rPr>
              <w:t>10日</w:t>
            </w:r>
          </w:p>
        </w:tc>
        <w:tc>
          <w:tcPr>
            <w:tcW w:w="4735" w:type="dxa"/>
            <w:noWrap w:val="0"/>
            <w:vAlign w:val="top"/>
          </w:tcPr>
          <w:p>
            <w:pPr>
              <w:keepNext w:val="0"/>
              <w:keepLines w:val="0"/>
              <w:pageBreakBefore w:val="0"/>
              <w:widowControl w:val="0"/>
              <w:kinsoku/>
              <w:wordWrap/>
              <w:overflowPunct/>
              <w:topLinePunct w:val="0"/>
              <w:autoSpaceDE/>
              <w:autoSpaceDN/>
              <w:bidi w:val="0"/>
              <w:adjustRightInd/>
              <w:spacing w:line="240" w:lineRule="auto"/>
              <w:textAlignment w:val="auto"/>
              <w:rPr>
                <w:sz w:val="20"/>
                <w:szCs w:val="22"/>
              </w:rPr>
            </w:pPr>
            <w:r>
              <w:rPr>
                <w:rFonts w:hint="eastAsia"/>
                <w:b/>
                <w:bCs/>
                <w:sz w:val="20"/>
                <w:szCs w:val="22"/>
              </w:rPr>
              <w:t>能耗统计期：</w:t>
            </w:r>
          </w:p>
          <w:p>
            <w:pPr>
              <w:pStyle w:val="3"/>
              <w:keepNext w:val="0"/>
              <w:keepLines w:val="0"/>
              <w:pageBreakBefore w:val="0"/>
              <w:widowControl w:val="0"/>
              <w:kinsoku/>
              <w:wordWrap/>
              <w:overflowPunct/>
              <w:topLinePunct w:val="0"/>
              <w:autoSpaceDE/>
              <w:autoSpaceDN/>
              <w:bidi w:val="0"/>
              <w:adjustRightInd/>
              <w:spacing w:line="240" w:lineRule="auto"/>
              <w:ind w:firstLine="0" w:firstLineChars="0"/>
              <w:textAlignment w:val="auto"/>
              <w:rPr>
                <w:rFonts w:ascii="宋体" w:hAnsi="宋体"/>
                <w:b/>
                <w:color w:val="000000"/>
                <w:szCs w:val="24"/>
              </w:rPr>
            </w:pPr>
            <w:r>
              <w:rPr>
                <w:rFonts w:hint="eastAsia"/>
                <w:sz w:val="20"/>
                <w:szCs w:val="22"/>
                <w:u w:val="single"/>
              </w:rPr>
              <w:t>2020</w:t>
            </w:r>
            <w:r>
              <w:rPr>
                <w:rFonts w:hint="eastAsia"/>
                <w:sz w:val="20"/>
                <w:szCs w:val="22"/>
              </w:rPr>
              <w:t>年01月01日至</w:t>
            </w:r>
            <w:r>
              <w:rPr>
                <w:rFonts w:hint="eastAsia"/>
                <w:sz w:val="20"/>
                <w:szCs w:val="22"/>
                <w:u w:val="single"/>
              </w:rPr>
              <w:t>2020</w:t>
            </w:r>
            <w:r>
              <w:rPr>
                <w:rFonts w:hint="eastAsia"/>
                <w:sz w:val="20"/>
                <w:szCs w:val="22"/>
              </w:rPr>
              <w:t>年12月31日</w:t>
            </w:r>
          </w:p>
        </w:tc>
        <w:tc>
          <w:tcPr>
            <w:tcW w:w="2835" w:type="dxa"/>
            <w:vMerge w:val="restart"/>
            <w:noWrap w:val="0"/>
            <w:vAlign w:val="top"/>
          </w:tcPr>
          <w:p>
            <w:pPr>
              <w:rPr>
                <w:rFonts w:hint="default" w:ascii="Times New Roman" w:hAnsi="Times New Roman" w:eastAsia="宋体" w:cs="Times New Roman"/>
                <w:kern w:val="2"/>
                <w:sz w:val="20"/>
                <w:szCs w:val="22"/>
                <w:u w:val="none"/>
                <w:lang w:val="en-US" w:eastAsia="zh-CN" w:bidi="ar-SA"/>
              </w:rPr>
            </w:pPr>
            <w:r>
              <w:rPr>
                <w:rFonts w:hint="eastAsia" w:ascii="Times New Roman" w:hAnsi="Times New Roman" w:eastAsia="宋体" w:cs="Times New Roman"/>
                <w:kern w:val="2"/>
                <w:sz w:val="20"/>
                <w:szCs w:val="22"/>
                <w:u w:val="none"/>
                <w:lang w:val="en-US" w:eastAsia="zh-CN" w:bidi="ar-SA"/>
              </w:rPr>
              <w:t>边界：位于太仓市双凤镇新湖温州路22号的苏州贝斯特装饰新材料有限公司</w:t>
            </w:r>
            <w:r>
              <w:rPr>
                <w:rFonts w:hint="eastAsia" w:ascii="Times New Roman" w:hAnsi="Times New Roman" w:cs="Times New Roman"/>
                <w:kern w:val="2"/>
                <w:sz w:val="20"/>
                <w:szCs w:val="22"/>
                <w:u w:val="none"/>
                <w:lang w:val="en-US" w:eastAsia="zh-CN" w:bidi="ar-SA"/>
              </w:rPr>
              <w:t>；</w:t>
            </w:r>
          </w:p>
          <w:p>
            <w:pPr>
              <w:rPr>
                <w:rFonts w:hint="eastAsia" w:ascii="Times New Roman" w:hAnsi="Times New Roman" w:eastAsia="宋体" w:cs="Times New Roman"/>
                <w:kern w:val="2"/>
                <w:sz w:val="20"/>
                <w:szCs w:val="22"/>
                <w:u w:val="none"/>
                <w:lang w:val="en-US" w:eastAsia="zh-CN" w:bidi="ar-SA"/>
              </w:rPr>
            </w:pPr>
            <w:r>
              <w:rPr>
                <w:rFonts w:hint="eastAsia" w:ascii="Times New Roman" w:hAnsi="Times New Roman" w:eastAsia="宋体" w:cs="Times New Roman"/>
                <w:kern w:val="2"/>
                <w:sz w:val="20"/>
                <w:szCs w:val="22"/>
                <w:u w:val="none"/>
                <w:lang w:val="en-US" w:eastAsia="zh-CN" w:bidi="ar-SA"/>
              </w:rPr>
              <w:t>主要生产系统：生产部（包含：工务部、涂布车间、压延车间）。</w:t>
            </w:r>
          </w:p>
          <w:p>
            <w:pPr>
              <w:rPr>
                <w:rFonts w:hint="eastAsia" w:ascii="Times New Roman" w:hAnsi="Times New Roman" w:eastAsia="宋体" w:cs="Times New Roman"/>
                <w:kern w:val="2"/>
                <w:sz w:val="20"/>
                <w:szCs w:val="22"/>
                <w:u w:val="none"/>
                <w:lang w:val="en-US" w:eastAsia="zh-CN" w:bidi="ar-SA"/>
              </w:rPr>
            </w:pPr>
            <w:r>
              <w:rPr>
                <w:rFonts w:hint="eastAsia" w:ascii="Times New Roman" w:hAnsi="Times New Roman" w:eastAsia="宋体" w:cs="Times New Roman"/>
                <w:kern w:val="2"/>
                <w:sz w:val="20"/>
                <w:szCs w:val="22"/>
                <w:u w:val="none"/>
                <w:lang w:val="en-US" w:eastAsia="zh-CN" w:bidi="ar-SA"/>
              </w:rPr>
              <w:t>辅助生产系统：管理部、采购部、技术部、财务部</w:t>
            </w:r>
            <w:r>
              <w:rPr>
                <w:rFonts w:hint="eastAsia" w:ascii="Times New Roman" w:hAnsi="Times New Roman" w:cs="Times New Roman"/>
                <w:kern w:val="2"/>
                <w:sz w:val="20"/>
                <w:szCs w:val="22"/>
                <w:u w:val="none"/>
                <w:lang w:val="en-US" w:eastAsia="zh-CN" w:bidi="ar-SA"/>
              </w:rPr>
              <w:t>；</w:t>
            </w:r>
          </w:p>
          <w:p>
            <w:pPr>
              <w:pStyle w:val="3"/>
              <w:spacing w:line="320" w:lineRule="exact"/>
              <w:ind w:firstLine="0"/>
              <w:rPr>
                <w:rFonts w:hint="default" w:ascii="宋体" w:hAnsi="宋体" w:eastAsia="宋体"/>
                <w:b/>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center"/>
          </w:tcPr>
          <w:p>
            <w:pPr>
              <w:pStyle w:val="3"/>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default" w:ascii="Times New Roman" w:hAnsi="Times New Roman" w:eastAsia="宋体" w:cs="Times New Roman"/>
                <w:kern w:val="2"/>
                <w:sz w:val="20"/>
                <w:szCs w:val="22"/>
                <w:u w:val="none"/>
                <w:lang w:val="en-US" w:eastAsia="zh-CN" w:bidi="ar-SA"/>
              </w:rPr>
            </w:pPr>
            <w:r>
              <w:rPr>
                <w:rFonts w:hint="eastAsia" w:ascii="Times New Roman" w:hAnsi="Times New Roman" w:eastAsia="宋体" w:cs="Times New Roman"/>
                <w:kern w:val="2"/>
                <w:sz w:val="20"/>
                <w:szCs w:val="22"/>
                <w:u w:val="none"/>
                <w:lang w:val="en-US" w:eastAsia="zh-CN" w:bidi="ar-SA"/>
              </w:rPr>
              <w:t>产量或产值：</w:t>
            </w:r>
            <w:r>
              <w:rPr>
                <w:rFonts w:hint="eastAsia" w:ascii="Times New Roman" w:hAnsi="Times New Roman" w:cs="Times New Roman"/>
                <w:kern w:val="2"/>
                <w:sz w:val="20"/>
                <w:szCs w:val="22"/>
                <w:u w:val="none"/>
                <w:lang w:val="en-US" w:eastAsia="zh-CN" w:bidi="ar-SA"/>
              </w:rPr>
              <w:t>产量19868.46</w:t>
            </w:r>
            <w:r>
              <w:rPr>
                <w:rFonts w:hint="eastAsia" w:ascii="Times New Roman" w:hAnsi="Times New Roman" w:eastAsia="宋体" w:cs="Times New Roman"/>
                <w:kern w:val="2"/>
                <w:sz w:val="20"/>
                <w:szCs w:val="22"/>
                <w:u w:val="none"/>
                <w:lang w:val="en-US" w:eastAsia="zh-CN" w:bidi="ar-SA"/>
              </w:rPr>
              <w:t>t</w:t>
            </w:r>
            <w:r>
              <w:rPr>
                <w:rFonts w:hint="eastAsia" w:ascii="Times New Roman" w:hAnsi="Times New Roman" w:cs="Times New Roman"/>
                <w:kern w:val="2"/>
                <w:sz w:val="20"/>
                <w:szCs w:val="22"/>
                <w:u w:val="none"/>
                <w:lang w:val="en-US" w:eastAsia="zh-CN" w:bidi="ar-SA"/>
              </w:rPr>
              <w:t xml:space="preserve">、产值40500万元。 </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center"/>
          </w:tcPr>
          <w:p>
            <w:pPr>
              <w:pStyle w:val="3"/>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default" w:ascii="Times New Roman" w:hAnsi="Times New Roman" w:eastAsia="宋体" w:cs="Times New Roman"/>
                <w:kern w:val="2"/>
                <w:sz w:val="20"/>
                <w:szCs w:val="22"/>
                <w:u w:val="none"/>
                <w:lang w:val="en-US" w:eastAsia="zh-CN" w:bidi="ar-SA"/>
              </w:rPr>
            </w:pPr>
            <w:r>
              <w:rPr>
                <w:rFonts w:hint="eastAsia" w:ascii="Times New Roman" w:hAnsi="Times New Roman" w:eastAsia="宋体" w:cs="Times New Roman"/>
                <w:kern w:val="2"/>
                <w:sz w:val="20"/>
                <w:szCs w:val="22"/>
                <w:u w:val="none"/>
                <w:lang w:val="zh-CN" w:eastAsia="zh-CN" w:bidi="ar-SA"/>
              </w:rPr>
              <w:t>综合能耗：</w:t>
            </w:r>
            <w:r>
              <w:rPr>
                <w:rFonts w:hint="eastAsia" w:ascii="Times New Roman" w:hAnsi="Times New Roman" w:cs="Times New Roman"/>
                <w:kern w:val="2"/>
                <w:sz w:val="20"/>
                <w:szCs w:val="22"/>
                <w:u w:val="none"/>
                <w:lang w:val="en-US" w:eastAsia="zh-CN" w:bidi="ar-SA"/>
              </w:rPr>
              <w:t>4678890.21kg</w:t>
            </w:r>
            <w:r>
              <w:rPr>
                <w:rFonts w:hint="eastAsia" w:ascii="Times New Roman" w:hAnsi="Times New Roman" w:eastAsia="宋体" w:cs="Times New Roman"/>
                <w:kern w:val="2"/>
                <w:sz w:val="20"/>
                <w:szCs w:val="22"/>
                <w:u w:val="none"/>
                <w:lang w:val="en-US" w:eastAsia="zh-CN" w:bidi="ar-SA"/>
              </w:rPr>
              <w:t>ce</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center"/>
          </w:tcPr>
          <w:p>
            <w:pPr>
              <w:pStyle w:val="3"/>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Times New Roman" w:hAnsi="Times New Roman" w:eastAsia="宋体" w:cs="Times New Roman"/>
                <w:kern w:val="2"/>
                <w:sz w:val="20"/>
                <w:szCs w:val="22"/>
                <w:u w:val="none"/>
                <w:lang w:val="en-US" w:eastAsia="zh-CN" w:bidi="ar-SA"/>
              </w:rPr>
            </w:pPr>
            <w:r>
              <w:rPr>
                <w:rFonts w:hint="eastAsia" w:ascii="Times New Roman" w:hAnsi="Times New Roman" w:eastAsia="宋体" w:cs="Times New Roman"/>
                <w:kern w:val="2"/>
                <w:sz w:val="20"/>
                <w:szCs w:val="22"/>
                <w:u w:val="none"/>
                <w:lang w:val="en-US" w:eastAsia="zh-CN" w:bidi="ar-SA"/>
              </w:rPr>
              <w:t>单位产品综合能耗：235.49kgce/t</w:t>
            </w:r>
          </w:p>
          <w:p>
            <w:pPr>
              <w:pStyle w:val="3"/>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default"/>
                <w:lang w:val="en-US" w:eastAsia="zh-CN"/>
              </w:rPr>
            </w:pPr>
            <w:r>
              <w:rPr>
                <w:rFonts w:hint="eastAsia" w:ascii="Times New Roman" w:hAnsi="Times New Roman" w:eastAsia="宋体" w:cs="Times New Roman"/>
                <w:kern w:val="2"/>
                <w:sz w:val="20"/>
                <w:szCs w:val="22"/>
                <w:u w:val="none"/>
                <w:lang w:val="en-US" w:eastAsia="zh-CN" w:bidi="ar-SA"/>
              </w:rPr>
              <w:t>万元产值综合能耗：115.53kgce/万元。</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rPr>
                <w:rFonts w:hint="default" w:eastAsia="宋体"/>
                <w:sz w:val="20"/>
                <w:szCs w:val="22"/>
                <w:lang w:val="en-US" w:eastAsia="zh-CN"/>
              </w:rPr>
            </w:pPr>
            <w:r>
              <w:rPr>
                <w:rFonts w:hint="eastAsia"/>
                <w:b/>
                <w:bCs/>
                <w:sz w:val="20"/>
                <w:szCs w:val="22"/>
              </w:rPr>
              <w:t>节能量（万吨标准煤）：</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noWrap w:val="0"/>
            <w:vAlign w:val="top"/>
          </w:tcPr>
          <w:p>
            <w:pPr>
              <w:pStyle w:val="3"/>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03</w:t>
            </w:r>
            <w:r>
              <w:rPr>
                <w:rFonts w:hint="eastAsia"/>
                <w:sz w:val="20"/>
                <w:szCs w:val="22"/>
              </w:rPr>
              <w:t>月</w:t>
            </w:r>
          </w:p>
          <w:p>
            <w:pPr>
              <w:pStyle w:val="3"/>
              <w:spacing w:line="400" w:lineRule="exact"/>
              <w:ind w:firstLine="0"/>
              <w:rPr>
                <w:rFonts w:ascii="宋体" w:hAnsi="宋体"/>
                <w:b/>
                <w:color w:val="000000"/>
                <w:sz w:val="24"/>
                <w:szCs w:val="24"/>
              </w:rPr>
            </w:pPr>
            <w:r>
              <w:rPr>
                <w:rFonts w:hint="eastAsia"/>
                <w:sz w:val="20"/>
                <w:szCs w:val="22"/>
                <w:u w:val="single"/>
                <w:lang w:val="en-US" w:eastAsia="zh-CN"/>
              </w:rPr>
              <w:t>29~31</w:t>
            </w:r>
            <w:r>
              <w:rPr>
                <w:rFonts w:hint="eastAsia"/>
                <w:sz w:val="20"/>
                <w:szCs w:val="22"/>
              </w:rPr>
              <w:t>日</w:t>
            </w:r>
          </w:p>
        </w:tc>
        <w:tc>
          <w:tcPr>
            <w:tcW w:w="4735" w:type="dxa"/>
            <w:noWrap w:val="0"/>
            <w:vAlign w:val="top"/>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eastAsia="宋体" w:cs="Times New Roman"/>
                <w:b/>
                <w:color w:val="000000"/>
                <w:kern w:val="2"/>
                <w:sz w:val="32"/>
                <w:szCs w:val="24"/>
                <w:lang w:val="en-US" w:eastAsia="zh-CN" w:bidi="ar-SA"/>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noWrap w:val="0"/>
            <w:vAlign w:val="top"/>
          </w:tcPr>
          <w:p>
            <w:pPr>
              <w:rPr>
                <w:rFonts w:hint="default" w:ascii="Times New Roman" w:hAnsi="Times New Roman" w:eastAsia="宋体" w:cs="Times New Roman"/>
                <w:kern w:val="2"/>
                <w:sz w:val="20"/>
                <w:szCs w:val="22"/>
                <w:u w:val="none"/>
                <w:lang w:val="en-US" w:eastAsia="zh-CN" w:bidi="ar-SA"/>
              </w:rPr>
            </w:pPr>
            <w:r>
              <w:rPr>
                <w:rFonts w:hint="eastAsia" w:ascii="Times New Roman" w:hAnsi="Times New Roman" w:eastAsia="宋体" w:cs="Times New Roman"/>
                <w:kern w:val="2"/>
                <w:sz w:val="20"/>
                <w:szCs w:val="22"/>
                <w:u w:val="none"/>
                <w:lang w:val="en-US" w:eastAsia="zh-CN" w:bidi="ar-SA"/>
              </w:rPr>
              <w:t>边界：位于太仓市双凤镇新湖温州路22号的苏州贝斯特装饰新材料有限公司</w:t>
            </w:r>
            <w:r>
              <w:rPr>
                <w:rFonts w:hint="eastAsia" w:ascii="Times New Roman" w:hAnsi="Times New Roman" w:cs="Times New Roman"/>
                <w:kern w:val="2"/>
                <w:sz w:val="20"/>
                <w:szCs w:val="22"/>
                <w:u w:val="none"/>
                <w:lang w:val="en-US" w:eastAsia="zh-CN" w:bidi="ar-SA"/>
              </w:rPr>
              <w:t>；</w:t>
            </w:r>
          </w:p>
          <w:p>
            <w:pPr>
              <w:rPr>
                <w:rFonts w:hint="eastAsia" w:ascii="Times New Roman" w:hAnsi="Times New Roman" w:eastAsia="宋体" w:cs="Times New Roman"/>
                <w:kern w:val="2"/>
                <w:sz w:val="20"/>
                <w:szCs w:val="22"/>
                <w:u w:val="none"/>
                <w:lang w:val="en-US" w:eastAsia="zh-CN" w:bidi="ar-SA"/>
              </w:rPr>
            </w:pPr>
            <w:r>
              <w:rPr>
                <w:rFonts w:hint="eastAsia" w:ascii="Times New Roman" w:hAnsi="Times New Roman" w:eastAsia="宋体" w:cs="Times New Roman"/>
                <w:kern w:val="2"/>
                <w:sz w:val="20"/>
                <w:szCs w:val="22"/>
                <w:u w:val="none"/>
                <w:lang w:val="en-US" w:eastAsia="zh-CN" w:bidi="ar-SA"/>
              </w:rPr>
              <w:t>主要生产系统：生产部（包含：工务部、涂布车间、压延车间）。</w:t>
            </w:r>
          </w:p>
          <w:p>
            <w:pPr>
              <w:rPr>
                <w:rFonts w:hint="eastAsia" w:ascii="Times New Roman" w:hAnsi="Times New Roman" w:eastAsia="宋体" w:cs="Times New Roman"/>
                <w:kern w:val="2"/>
                <w:sz w:val="20"/>
                <w:szCs w:val="22"/>
                <w:u w:val="none"/>
                <w:lang w:val="en-US" w:eastAsia="zh-CN" w:bidi="ar-SA"/>
              </w:rPr>
            </w:pPr>
            <w:r>
              <w:rPr>
                <w:rFonts w:hint="eastAsia" w:ascii="Times New Roman" w:hAnsi="Times New Roman" w:eastAsia="宋体" w:cs="Times New Roman"/>
                <w:kern w:val="2"/>
                <w:sz w:val="20"/>
                <w:szCs w:val="22"/>
                <w:u w:val="none"/>
                <w:lang w:val="en-US" w:eastAsia="zh-CN" w:bidi="ar-SA"/>
              </w:rPr>
              <w:t>辅助生产系统：管理部、采购部、技术部、财务部</w:t>
            </w:r>
            <w:r>
              <w:rPr>
                <w:rFonts w:hint="eastAsia" w:ascii="Times New Roman" w:hAnsi="Times New Roman" w:cs="Times New Roman"/>
                <w:kern w:val="2"/>
                <w:sz w:val="20"/>
                <w:szCs w:val="22"/>
                <w:u w:val="none"/>
                <w:lang w:val="en-US" w:eastAsia="zh-CN" w:bidi="ar-SA"/>
              </w:rPr>
              <w:t>；</w:t>
            </w:r>
          </w:p>
          <w:p>
            <w:pPr>
              <w:pStyle w:val="3"/>
              <w:spacing w:line="320" w:lineRule="exact"/>
              <w:ind w:firstLine="0"/>
              <w:rPr>
                <w:rFonts w:ascii="宋体" w:hAns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rPr>
                <w:rFonts w:hint="default" w:ascii="Times New Roman" w:hAnsi="Times New Roman" w:eastAsia="宋体" w:cs="Times New Roman"/>
                <w:kern w:val="2"/>
                <w:sz w:val="20"/>
                <w:szCs w:val="22"/>
                <w:u w:val="none"/>
                <w:lang w:val="en-US" w:eastAsia="zh-CN" w:bidi="ar-SA"/>
              </w:rPr>
            </w:pPr>
            <w:r>
              <w:rPr>
                <w:rFonts w:hint="eastAsia" w:ascii="Times New Roman" w:hAnsi="Times New Roman" w:eastAsia="宋体" w:cs="Times New Roman"/>
                <w:kern w:val="2"/>
                <w:sz w:val="20"/>
                <w:szCs w:val="22"/>
                <w:u w:val="none"/>
                <w:lang w:val="en-US" w:eastAsia="zh-CN" w:bidi="ar-SA"/>
              </w:rPr>
              <w:t>产量：25686.651t</w:t>
            </w:r>
          </w:p>
          <w:p>
            <w:pPr>
              <w:pStyle w:val="3"/>
              <w:spacing w:line="320" w:lineRule="exact"/>
              <w:ind w:firstLine="0"/>
              <w:rPr>
                <w:rFonts w:hint="eastAsia" w:ascii="宋体" w:hAnsi="宋体" w:eastAsia="宋体" w:cs="Times New Roman"/>
                <w:b/>
                <w:color w:val="000000"/>
                <w:kern w:val="2"/>
                <w:sz w:val="32"/>
                <w:szCs w:val="24"/>
                <w:lang w:val="en-US" w:eastAsia="zh-CN" w:bidi="ar-SA"/>
              </w:rPr>
            </w:pPr>
            <w:r>
              <w:rPr>
                <w:rFonts w:hint="eastAsia"/>
                <w:b/>
                <w:bCs/>
                <w:sz w:val="20"/>
                <w:lang w:val="en-US" w:eastAsia="zh-CN"/>
              </w:rPr>
              <w:t>产值：</w:t>
            </w:r>
            <w:r>
              <w:rPr>
                <w:rFonts w:hint="eastAsia" w:ascii="Times New Roman" w:hAnsi="Times New Roman" w:cs="Times New Roman"/>
                <w:kern w:val="2"/>
                <w:sz w:val="20"/>
                <w:szCs w:val="22"/>
                <w:u w:val="none"/>
                <w:lang w:val="en-US" w:eastAsia="zh-CN" w:bidi="ar-SA"/>
              </w:rPr>
              <w:t>46494万元</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rPr>
                <w:rFonts w:hint="eastAsia" w:ascii="宋体" w:hAnsi="宋体" w:eastAsia="宋体" w:cs="Times New Roman"/>
                <w:b/>
                <w:color w:val="000000"/>
                <w:kern w:val="2"/>
                <w:sz w:val="32"/>
                <w:szCs w:val="24"/>
                <w:lang w:val="en-US" w:eastAsia="zh-CN" w:bidi="ar-SA"/>
              </w:rPr>
            </w:pPr>
            <w:r>
              <w:rPr>
                <w:rFonts w:hint="eastAsia" w:ascii="Times New Roman" w:hAnsi="Times New Roman" w:eastAsia="宋体" w:cs="Times New Roman"/>
                <w:kern w:val="2"/>
                <w:sz w:val="20"/>
                <w:szCs w:val="22"/>
                <w:u w:val="none"/>
                <w:lang w:val="zh-CN" w:eastAsia="zh-CN" w:bidi="ar-SA"/>
              </w:rPr>
              <w:t>综合能耗：</w:t>
            </w:r>
            <w:r>
              <w:rPr>
                <w:rFonts w:hint="eastAsia" w:ascii="Times New Roman" w:hAnsi="Times New Roman" w:eastAsia="宋体" w:cs="Times New Roman"/>
                <w:kern w:val="2"/>
                <w:sz w:val="20"/>
                <w:szCs w:val="22"/>
                <w:u w:val="none"/>
                <w:lang w:val="en-US" w:eastAsia="zh-CN" w:bidi="ar-SA"/>
              </w:rPr>
              <w:t>6156802.915kgce</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rPr>
                <w:rFonts w:ascii="宋体" w:hAnsi="宋体" w:eastAsia="宋体" w:cs="Times New Roman"/>
                <w:b/>
                <w:color w:val="000000"/>
                <w:kern w:val="2"/>
                <w:sz w:val="24"/>
                <w:szCs w:val="24"/>
                <w:lang w:val="en-US" w:eastAsia="zh-CN" w:bidi="ar-SA"/>
              </w:rPr>
            </w:pPr>
            <w:r>
              <w:rPr>
                <w:rFonts w:hint="eastAsia" w:ascii="Times New Roman" w:hAnsi="Times New Roman" w:eastAsia="宋体" w:cs="Times New Roman"/>
                <w:kern w:val="2"/>
                <w:sz w:val="20"/>
                <w:szCs w:val="22"/>
                <w:u w:val="none"/>
                <w:lang w:val="en-US" w:eastAsia="zh-CN" w:bidi="ar-SA"/>
              </w:rPr>
              <w:t>单位能耗：239.69kgce/t</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rPr>
                <w:rFonts w:hint="eastAsia"/>
                <w:sz w:val="20"/>
                <w:szCs w:val="22"/>
                <w:lang w:val="en-US" w:eastAsia="zh-CN"/>
              </w:rPr>
            </w:pPr>
            <w:r>
              <w:rPr>
                <w:rFonts w:hint="eastAsia"/>
                <w:b/>
                <w:bCs/>
                <w:sz w:val="20"/>
                <w:szCs w:val="22"/>
                <w:lang w:val="en-US" w:eastAsia="zh-CN"/>
              </w:rPr>
              <w:t>节能量（万吨标准煤）：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noWrap w:val="0"/>
            <w:vAlign w:val="top"/>
          </w:tcPr>
          <w:p>
            <w:pPr>
              <w:pStyle w:val="3"/>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3"/>
              <w:spacing w:line="400" w:lineRule="exact"/>
              <w:ind w:firstLine="0"/>
              <w:rPr>
                <w:rFonts w:ascii="宋体" w:hAnsi="宋体"/>
                <w:b/>
                <w:color w:val="000000"/>
                <w:sz w:val="24"/>
                <w:szCs w:val="24"/>
              </w:rPr>
            </w:pPr>
            <w:r>
              <w:rPr>
                <w:rFonts w:hint="eastAsia"/>
                <w:sz w:val="20"/>
                <w:szCs w:val="22"/>
                <w:u w:val="single"/>
                <w:lang w:val="en-US" w:eastAsia="zh-CN"/>
              </w:rPr>
              <w:t>XX~XX</w:t>
            </w:r>
            <w:r>
              <w:rPr>
                <w:rFonts w:hint="eastAsia"/>
                <w:sz w:val="20"/>
                <w:szCs w:val="22"/>
              </w:rPr>
              <w:t>日</w:t>
            </w:r>
          </w:p>
        </w:tc>
        <w:tc>
          <w:tcPr>
            <w:tcW w:w="4735" w:type="dxa"/>
            <w:noWrap w:val="0"/>
            <w:vAlign w:val="top"/>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eastAsia="宋体" w:cs="Times New Roman"/>
                <w:b/>
                <w:color w:val="000000"/>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noWrap w:val="0"/>
            <w:vAlign w:val="top"/>
          </w:tcPr>
          <w:p>
            <w:pPr>
              <w:pStyle w:val="3"/>
              <w:spacing w:line="320" w:lineRule="exact"/>
              <w:ind w:firstLine="0"/>
              <w:rPr>
                <w:rFonts w:ascii="宋体" w:hAns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pStyle w:val="3"/>
              <w:spacing w:line="320" w:lineRule="exact"/>
              <w:ind w:firstLine="0"/>
              <w:rPr>
                <w:rFonts w:hint="default" w:eastAsia="宋体"/>
                <w:b/>
                <w:bCs/>
                <w:sz w:val="20"/>
                <w:lang w:val="en-US" w:eastAsia="zh-CN"/>
              </w:rPr>
            </w:pPr>
            <w:r>
              <w:rPr>
                <w:rFonts w:hint="eastAsia"/>
                <w:b/>
                <w:bCs/>
                <w:sz w:val="20"/>
                <w:lang w:val="en-US" w:eastAsia="zh-CN"/>
              </w:rPr>
              <w:t>产量或产值：</w:t>
            </w:r>
          </w:p>
          <w:p>
            <w:pPr>
              <w:pStyle w:val="3"/>
              <w:spacing w:line="320" w:lineRule="exact"/>
              <w:ind w:firstLine="0" w:firstLineChars="0"/>
              <w:rPr>
                <w:rFonts w:hint="eastAsia" w:ascii="宋体" w:hAnsi="宋体" w:eastAsia="宋体" w:cs="Times New Roman"/>
                <w:b/>
                <w:color w:val="000000"/>
                <w:kern w:val="2"/>
                <w:sz w:val="32"/>
                <w:szCs w:val="24"/>
                <w:lang w:val="en-US" w:eastAsia="zh-CN" w:bidi="ar-SA"/>
              </w:rPr>
            </w:pPr>
            <w:r>
              <w:rPr>
                <w:rFonts w:hint="eastAsia"/>
                <w:sz w:val="20"/>
                <w:lang w:val="en-US" w:eastAsia="zh-CN"/>
              </w:rPr>
              <w:t xml:space="preserve"> </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pStyle w:val="3"/>
              <w:spacing w:line="320" w:lineRule="exact"/>
              <w:ind w:firstLine="0"/>
              <w:rPr>
                <w:rFonts w:hint="eastAsia"/>
                <w:b/>
                <w:bCs/>
                <w:sz w:val="20"/>
                <w:szCs w:val="22"/>
                <w:lang w:val="zh-CN"/>
              </w:rPr>
            </w:pPr>
            <w:r>
              <w:rPr>
                <w:rFonts w:hint="eastAsia"/>
                <w:b/>
                <w:bCs/>
                <w:sz w:val="20"/>
                <w:szCs w:val="22"/>
                <w:lang w:val="zh-CN"/>
              </w:rPr>
              <w:t>综合能耗：</w:t>
            </w:r>
          </w:p>
          <w:p>
            <w:pPr>
              <w:pStyle w:val="3"/>
              <w:spacing w:line="320" w:lineRule="exact"/>
              <w:ind w:firstLine="0" w:firstLineChars="0"/>
              <w:rPr>
                <w:rFonts w:hint="eastAsia" w:ascii="宋体" w:hAnsi="宋体" w:eastAsia="宋体" w:cs="Times New Roman"/>
                <w:b/>
                <w:color w:val="000000"/>
                <w:kern w:val="2"/>
                <w:sz w:val="32"/>
                <w:szCs w:val="24"/>
                <w:lang w:val="en-US" w:eastAsia="zh-CN" w:bidi="ar-SA"/>
              </w:rPr>
            </w:pPr>
            <w:r>
              <w:rPr>
                <w:rFonts w:hint="eastAsia"/>
                <w:sz w:val="20"/>
                <w:szCs w:val="22"/>
                <w:lang w:val="en-US" w:eastAsia="zh-CN"/>
              </w:rPr>
              <w:t xml:space="preserve"> </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kern w:val="2"/>
                <w:sz w:val="24"/>
                <w:szCs w:val="24"/>
                <w:lang w:val="en-US" w:eastAsia="zh-CN" w:bidi="ar-SA"/>
              </w:rPr>
            </w:pP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rPr>
                <w:rFonts w:hint="eastAsia"/>
                <w:sz w:val="20"/>
                <w:szCs w:val="22"/>
                <w:lang w:val="en-US" w:eastAsia="zh-CN"/>
              </w:rPr>
            </w:pPr>
            <w:r>
              <w:rPr>
                <w:rFonts w:hint="eastAsia"/>
                <w:b/>
                <w:bCs/>
                <w:sz w:val="20"/>
                <w:szCs w:val="22"/>
                <w:lang w:val="en-US" w:eastAsia="zh-CN"/>
              </w:rPr>
              <w:t>节能量（万吨标准煤）：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noWrap w:val="0"/>
            <w:vAlign w:val="top"/>
          </w:tcPr>
          <w:p>
            <w:pPr>
              <w:pStyle w:val="3"/>
              <w:spacing w:line="320" w:lineRule="exact"/>
              <w:ind w:firstLine="0"/>
              <w:rPr>
                <w:rFonts w:hint="eastAsia"/>
                <w:sz w:val="20"/>
              </w:rPr>
            </w:pPr>
          </w:p>
        </w:tc>
      </w:tr>
    </w:tbl>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92B3240"/>
    <w:rsid w:val="71DF2A2E"/>
    <w:rsid w:val="731211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sz w:val="24"/>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2022-04-05T14:45:26Z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2052-11.1.0.11411</vt:lpwstr>
  </property>
</Properties>
</file>