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484"/>
        <w:gridCol w:w="1018"/>
        <w:gridCol w:w="101"/>
        <w:gridCol w:w="903"/>
        <w:gridCol w:w="570"/>
        <w:gridCol w:w="364"/>
        <w:gridCol w:w="321"/>
        <w:gridCol w:w="441"/>
        <w:gridCol w:w="123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苏州贝斯特装饰新材料有限公司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太仓市双凤镇新湖温州路22号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太仓市双凤镇新湖温州路22号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匡青奇</w:t>
            </w:r>
            <w:bookmarkEnd w:id="3"/>
          </w:p>
        </w:tc>
        <w:tc>
          <w:tcPr>
            <w:tcW w:w="11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18915788552</w:t>
            </w:r>
            <w:bookmarkEnd w:id="4"/>
          </w:p>
        </w:tc>
        <w:tc>
          <w:tcPr>
            <w:tcW w:w="6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qingqi.kuang@newbeston.com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82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1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3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6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0317-2021-EnMS-2022</w:t>
            </w:r>
            <w:bookmarkEnd w:id="8"/>
          </w:p>
        </w:tc>
        <w:tc>
          <w:tcPr>
            <w:tcW w:w="111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278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5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功能性树脂装饰材料的研发及生产所涉及的相关能源管理活动</w:t>
            </w:r>
            <w:bookmarkEnd w:id="20"/>
          </w:p>
        </w:tc>
        <w:tc>
          <w:tcPr>
            <w:tcW w:w="167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/>
              </w:rPr>
              <w:t>RB/T114-2014《能源管理体系 纯碱、焦化、橡塑制品、制药等化工企业认证要求》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2022年03月29日 上午至2022年03月31日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3.0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78"/>
        <w:gridCol w:w="735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55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8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5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5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12:30-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8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735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9.1.1能源绩效和能源管理体系的监视、测量、分析和评价（总则）、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内部审核、10.1 不符合与纠正措施、10.2 持续改进</w:t>
            </w:r>
          </w:p>
        </w:tc>
        <w:tc>
          <w:tcPr>
            <w:tcW w:w="11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87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35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运行的策划和控制、10.2 持续改进</w:t>
            </w:r>
          </w:p>
        </w:tc>
        <w:tc>
          <w:tcPr>
            <w:tcW w:w="11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8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55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1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355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</w:t>
            </w:r>
          </w:p>
        </w:tc>
        <w:tc>
          <w:tcPr>
            <w:tcW w:w="11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16:00</w:t>
            </w:r>
          </w:p>
        </w:tc>
        <w:tc>
          <w:tcPr>
            <w:tcW w:w="878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35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1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16:10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5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1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16:10-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5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1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午餐时间：12:00-12:30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697969"/>
    <w:rsid w:val="4AD71495"/>
    <w:rsid w:val="7E997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2022-04-03T08:21:09Z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