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0238-2022-EnMs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内蒙古巨力新型建材有限公司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内蒙古巨力新型建材有限公司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内蒙古呼和浩特市如意新区小平南路东侧</w:t>
            </w:r>
            <w:bookmarkEnd w:id="6"/>
          </w:p>
        </w:tc>
        <w:tc>
          <w:tcPr>
            <w:tcW w:w="1242" w:type="dxa"/>
            <w:vMerge w:val="restart"/>
            <w:vAlign w:val="center"/>
          </w:tcPr>
          <w:p>
            <w:r>
              <w:rPr>
                <w:rFonts w:hint="eastAsia"/>
              </w:rPr>
              <w:t>邮编</w:t>
            </w:r>
          </w:p>
        </w:tc>
        <w:tc>
          <w:tcPr>
            <w:tcW w:w="1771" w:type="dxa"/>
          </w:tcPr>
          <w:p>
            <w:bookmarkStart w:id="7" w:name="注册邮编"/>
            <w:r>
              <w:t>010000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内蒙古呼和浩特市如意新区小平南路东侧</w:t>
            </w:r>
            <w:bookmarkEnd w:id="8"/>
          </w:p>
        </w:tc>
        <w:tc>
          <w:tcPr>
            <w:tcW w:w="1242" w:type="dxa"/>
            <w:vMerge w:val="continue"/>
            <w:vAlign w:val="center"/>
          </w:tcPr>
          <w:p/>
        </w:tc>
        <w:tc>
          <w:tcPr>
            <w:tcW w:w="1771" w:type="dxa"/>
          </w:tcPr>
          <w:p>
            <w:bookmarkStart w:id="9" w:name="办公邮编"/>
            <w:r>
              <w:t>010000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胡萍</w:t>
            </w:r>
            <w:bookmarkEnd w:id="10"/>
          </w:p>
        </w:tc>
        <w:tc>
          <w:tcPr>
            <w:tcW w:w="1313" w:type="dxa"/>
            <w:vAlign w:val="center"/>
          </w:tcPr>
          <w:p>
            <w:r>
              <w:rPr>
                <w:rFonts w:hint="eastAsia"/>
              </w:rPr>
              <w:t>电话.</w:t>
            </w:r>
          </w:p>
        </w:tc>
        <w:tc>
          <w:tcPr>
            <w:tcW w:w="2180" w:type="dxa"/>
            <w:vAlign w:val="center"/>
          </w:tcPr>
          <w:p>
            <w:bookmarkStart w:id="11" w:name="联系人电话"/>
            <w:r>
              <w:t>14747888307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陈军旗</w:t>
            </w:r>
            <w:bookmarkEnd w:id="13"/>
          </w:p>
        </w:tc>
        <w:tc>
          <w:tcPr>
            <w:tcW w:w="1313" w:type="dxa"/>
            <w:vAlign w:val="center"/>
          </w:tcPr>
          <w:p>
            <w:r>
              <w:rPr>
                <w:rFonts w:hint="eastAsia"/>
              </w:rPr>
              <w:t>管理者代表</w:t>
            </w:r>
          </w:p>
        </w:tc>
        <w:tc>
          <w:tcPr>
            <w:tcW w:w="2180" w:type="dxa"/>
          </w:tcPr>
          <w:p>
            <w:bookmarkStart w:id="14" w:name="管理者代表"/>
            <w:r>
              <w:t>胡萍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0" distR="0">
                  <wp:extent cx="4913630" cy="23850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13630" cy="2385060"/>
                          </a:xfrm>
                          <a:prstGeom prst="rect">
                            <a:avLst/>
                          </a:prstGeom>
                          <a:noFill/>
                          <a:ln>
                            <a:noFill/>
                          </a:ln>
                        </pic:spPr>
                      </pic:pic>
                    </a:graphicData>
                  </a:graphic>
                </wp:inline>
              </w:drawing>
            </w:r>
          </w:p>
          <w:p>
            <w:pPr>
              <w:pStyle w:val="2"/>
            </w:pPr>
            <w:r>
              <w:drawing>
                <wp:inline distT="0" distB="0" distL="0" distR="0">
                  <wp:extent cx="4873625" cy="3192780"/>
                  <wp:effectExtent l="0" t="0" r="317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73625" cy="319278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2022年04月17日 下午至2022年04月19日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08"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de-DE" w:eastAsia="zh-CN"/>
              </w:rPr>
              <w:t>☑</w:t>
            </w:r>
            <w:r>
              <w:rPr>
                <w:rFonts w:hint="eastAsia" w:ascii="Times New Roman" w:hAnsi="Times New Roman" w:eastAsia="宋体" w:cs="Times New Roman"/>
                <w:lang w:val="de-DE"/>
              </w:rPr>
              <w:t xml:space="preserve">RB/T </w:t>
            </w:r>
            <w:r>
              <w:rPr>
                <w:rFonts w:hint="eastAsia" w:ascii="Times New Roman" w:hAnsi="Times New Roman" w:eastAsia="宋体" w:cs="Times New Roman"/>
                <w:lang w:val="en-US" w:eastAsia="zh-CN"/>
              </w:rPr>
              <w:t>114-2014能源管理体系 纯碱、焦化、橡胶制品、制药等化工企业认证要求</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de-DE" w:eastAsia="zh-CN"/>
              </w:rPr>
              <w:t>☑</w:t>
            </w:r>
            <w:r>
              <w:rPr>
                <w:rFonts w:hint="eastAsia" w:ascii="Times New Roman" w:hAnsi="Times New Roman" w:eastAsia="宋体" w:cs="Times New Roman"/>
                <w:lang w:val="de-DE"/>
              </w:rPr>
              <w:t xml:space="preserve">RB/T </w:t>
            </w:r>
            <w:r>
              <w:rPr>
                <w:rFonts w:hint="eastAsia" w:ascii="Times New Roman" w:hAnsi="Times New Roman" w:eastAsia="宋体" w:cs="Times New Roman"/>
                <w:lang w:val="en-US" w:eastAsia="zh-CN"/>
              </w:rPr>
              <w:t>121-2016能源管理体系 建材（不含水泥、玻璃、陶瓷）企业认证要求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周涛（山东省济宁市）、王宁敏（广东省深圳市）、王琳（湖北省襄阳市）、冀少华（内蒙古呼和浩特市）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预拌干粉砂浆、挤塑板的生产所涉及的能源管理活动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2.3;2.4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ascii="宋体" w:hAnsi="宋体"/>
                <w:b/>
                <w:color w:val="000000"/>
                <w:szCs w:val="21"/>
              </w:rPr>
              <w:t>2021年01月02日</w:t>
            </w:r>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47"/>
        <w:gridCol w:w="1641"/>
        <w:gridCol w:w="500"/>
        <w:gridCol w:w="1987"/>
        <w:gridCol w:w="190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54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4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0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87"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0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47" w:type="dxa"/>
          </w:tcPr>
          <w:p>
            <w:pPr>
              <w:spacing w:before="40" w:after="40"/>
              <w:rPr>
                <w:rFonts w:eastAsia="黑体"/>
                <w:szCs w:val="21"/>
                <w:lang w:val="de-DE" w:eastAsia="ja-JP"/>
              </w:rPr>
            </w:pPr>
            <w:r>
              <w:rPr>
                <w:color w:val="000000" w:themeColor="text1"/>
                <w:szCs w:val="21"/>
                <w:u w:val="single"/>
              </w:rPr>
              <w:t xml:space="preserve"> </w:t>
            </w:r>
            <w:r>
              <w:rPr>
                <w:rFonts w:hint="eastAsia"/>
                <w:szCs w:val="21"/>
              </w:rPr>
              <w:t>内蒙古巨力新型建材</w:t>
            </w:r>
            <w:r>
              <w:rPr>
                <w:szCs w:val="21"/>
              </w:rPr>
              <w:t>有限公司</w:t>
            </w:r>
            <w:r>
              <w:rPr>
                <w:rFonts w:hint="eastAsia"/>
                <w:szCs w:val="21"/>
                <w:lang w:val="en-US" w:eastAsia="zh-CN"/>
              </w:rPr>
              <w:t>/</w:t>
            </w:r>
            <w:r>
              <w:rPr>
                <w:rFonts w:hint="eastAsia"/>
                <w:color w:val="000000" w:themeColor="text1"/>
                <w:szCs w:val="21"/>
                <w:u w:val="single"/>
              </w:rPr>
              <w:t>内蒙古呼和浩特市如意新区小平南路东侧</w:t>
            </w:r>
          </w:p>
        </w:tc>
        <w:tc>
          <w:tcPr>
            <w:tcW w:w="1641" w:type="dxa"/>
          </w:tcPr>
          <w:p>
            <w:pPr>
              <w:spacing w:before="40" w:after="40"/>
              <w:rPr>
                <w:rFonts w:eastAsia="黑体"/>
                <w:szCs w:val="21"/>
                <w:lang w:val="de-DE" w:eastAsia="ja-JP"/>
              </w:rPr>
            </w:pPr>
            <w:r>
              <w:rPr>
                <w:rFonts w:hint="eastAsia"/>
                <w:color w:val="000000" w:themeColor="text1"/>
                <w:szCs w:val="21"/>
                <w:u w:val="single"/>
              </w:rPr>
              <w:t>内蒙古呼和浩特市如意新区小平南路东侧</w:t>
            </w:r>
          </w:p>
        </w:tc>
        <w:tc>
          <w:tcPr>
            <w:tcW w:w="50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987" w:type="dxa"/>
            <w:vAlign w:val="center"/>
          </w:tcPr>
          <w:p>
            <w:pPr>
              <w:pStyle w:val="20"/>
              <w:rPr>
                <w:rFonts w:hint="eastAsia" w:eastAsia="黑体" w:cs="Arial"/>
                <w:sz w:val="21"/>
                <w:szCs w:val="21"/>
                <w:lang w:val="en-US" w:eastAsia="zh-CN"/>
              </w:rPr>
            </w:pPr>
            <w:r>
              <w:rPr>
                <w:rFonts w:hint="eastAsia"/>
                <w:color w:val="000000" w:themeColor="text1"/>
                <w:u w:val="single"/>
              </w:rPr>
              <w:t>预拌干粉砂浆、挤塑板的生产所涉及的能源管理活动</w:t>
            </w:r>
            <w:r>
              <w:rPr>
                <w:rFonts w:hint="eastAsia"/>
                <w:color w:val="000000" w:themeColor="text1"/>
                <w:szCs w:val="21"/>
                <w:u w:val="single"/>
              </w:rPr>
              <w:t>。</w:t>
            </w:r>
          </w:p>
        </w:tc>
        <w:tc>
          <w:tcPr>
            <w:tcW w:w="1902"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eastAsia" w:ascii="宋体" w:hAnsi="宋体"/>
                <w:b/>
                <w:sz w:val="21"/>
                <w:szCs w:val="21"/>
                <w:lang w:val="en-US" w:eastAsia="zh-CN"/>
              </w:rPr>
            </w:pPr>
            <w:r>
              <w:rPr>
                <w:rFonts w:hint="eastAsia" w:ascii="宋体" w:hAnsi="宋体"/>
                <w:b/>
                <w:sz w:val="21"/>
                <w:szCs w:val="21"/>
              </w:rPr>
              <w:t xml:space="preserve">RB/T </w:t>
            </w:r>
            <w:r>
              <w:rPr>
                <w:rFonts w:hint="eastAsia" w:ascii="宋体" w:hAnsi="宋体"/>
                <w:b/>
                <w:sz w:val="21"/>
                <w:szCs w:val="21"/>
                <w:lang w:val="en-US" w:eastAsia="zh-CN"/>
              </w:rPr>
              <w:t>114-2014</w:t>
            </w:r>
          </w:p>
          <w:p>
            <w:pPr>
              <w:spacing w:before="40" w:after="40"/>
              <w:rPr>
                <w:rFonts w:hint="default" w:ascii="宋体" w:hAnsi="宋体"/>
                <w:b/>
                <w:sz w:val="21"/>
                <w:szCs w:val="21"/>
                <w:lang w:val="en-US" w:eastAsia="zh-CN"/>
              </w:rPr>
            </w:pPr>
            <w:r>
              <w:rPr>
                <w:rFonts w:hint="eastAsia" w:ascii="宋体" w:hAnsi="宋体"/>
                <w:b/>
                <w:sz w:val="21"/>
                <w:szCs w:val="21"/>
              </w:rPr>
              <w:t xml:space="preserve">RB/T </w:t>
            </w:r>
            <w:r>
              <w:rPr>
                <w:rFonts w:hint="eastAsia" w:ascii="宋体" w:hAnsi="宋体"/>
                <w:b/>
                <w:sz w:val="21"/>
                <w:szCs w:val="21"/>
                <w:lang w:val="en-US" w:eastAsia="zh-CN"/>
              </w:rPr>
              <w:t>121-2016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218"/>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4218" w:type="dxa"/>
            <w:vAlign w:val="center"/>
          </w:tcPr>
          <w:p>
            <w:r>
              <w:rPr>
                <w:rFonts w:hint="eastAsia"/>
              </w:rPr>
              <w:t>审核员注册证书号</w:t>
            </w:r>
          </w:p>
        </w:tc>
        <w:tc>
          <w:tcPr>
            <w:tcW w:w="183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4218" w:type="dxa"/>
            <w:vAlign w:val="center"/>
          </w:tcPr>
          <w:p>
            <w:r>
              <w:t>2021-N1EnMS-2072033</w:t>
            </w:r>
          </w:p>
        </w:tc>
        <w:tc>
          <w:tcPr>
            <w:tcW w:w="1831"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4218" w:type="dxa"/>
            <w:vAlign w:val="center"/>
          </w:tcPr>
          <w:p>
            <w:r>
              <w:t>2021-N1EnMS-3061496</w:t>
            </w:r>
          </w:p>
        </w:tc>
        <w:tc>
          <w:tcPr>
            <w:tcW w:w="1831"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4218" w:type="dxa"/>
            <w:vAlign w:val="center"/>
          </w:tcPr>
          <w:p>
            <w:r>
              <w:t>2021-N0EnMS-1254369</w:t>
            </w:r>
          </w:p>
        </w:tc>
        <w:tc>
          <w:tcPr>
            <w:tcW w:w="183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48" w:type="dxa"/>
            <w:vAlign w:val="center"/>
          </w:tcPr>
          <w:p>
            <w:r>
              <w:t>冀少华</w:t>
            </w:r>
          </w:p>
        </w:tc>
        <w:tc>
          <w:tcPr>
            <w:tcW w:w="1089" w:type="dxa"/>
            <w:vAlign w:val="center"/>
          </w:tcPr>
          <w:p>
            <w:r>
              <w:t>组员</w:t>
            </w:r>
          </w:p>
        </w:tc>
        <w:tc>
          <w:tcPr>
            <w:tcW w:w="711" w:type="dxa"/>
            <w:vAlign w:val="center"/>
          </w:tcPr>
          <w:p>
            <w:r>
              <w:t>男</w:t>
            </w:r>
          </w:p>
        </w:tc>
        <w:tc>
          <w:tcPr>
            <w:tcW w:w="4218" w:type="dxa"/>
            <w:vAlign w:val="center"/>
          </w:tcPr>
          <w:p>
            <w:r>
              <w:t>ISC-JSZJ-523内蒙古奕耀建筑材料有限公司</w:t>
            </w:r>
          </w:p>
        </w:tc>
        <w:tc>
          <w:tcPr>
            <w:tcW w:w="1831" w:type="dxa"/>
            <w:vAlign w:val="center"/>
          </w:tcPr>
          <w:p>
            <w:r>
              <w:t>2.4</w:t>
            </w:r>
          </w:p>
        </w:tc>
      </w:tr>
    </w:tbl>
    <w:p/>
    <w:p>
      <w:pPr>
        <w:rPr>
          <w:lang w:eastAsia="ja-JP"/>
        </w:rPr>
      </w:pPr>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0" w:type="dxa"/>
            <w:vMerge w:val="continue"/>
            <w:shd w:val="clear" w:color="auto" w:fill="auto"/>
          </w:tcPr>
          <w:p/>
        </w:tc>
        <w:tc>
          <w:tcPr>
            <w:tcW w:w="970" w:type="dxa"/>
            <w:shd w:val="clear" w:color="auto" w:fill="auto"/>
          </w:tcPr>
          <w:p>
            <w:r>
              <w:rPr>
                <w:rFonts w:hint="eastAsia"/>
              </w:rPr>
              <w:t>QMS</w:t>
            </w:r>
            <w:bookmarkStart w:id="34" w:name="_GoBack"/>
            <w:bookmarkEnd w:id="34"/>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exact"/>
          <w:jc w:val="center"/>
        </w:trPr>
        <w:tc>
          <w:tcPr>
            <w:tcW w:w="1842" w:type="dxa"/>
          </w:tcPr>
          <w:p>
            <w:r>
              <w:rPr>
                <w:rFonts w:hint="eastAsia"/>
              </w:rPr>
              <w:t>审核组长签字</w:t>
            </w:r>
          </w:p>
        </w:tc>
        <w:tc>
          <w:tcPr>
            <w:tcW w:w="2764" w:type="dxa"/>
            <w:tcMar>
              <w:left w:w="113" w:type="dxa"/>
            </w:tcMar>
          </w:tcPr>
          <w:p/>
          <w:p>
            <w:r>
              <w:rPr>
                <w:rFonts w:hint="eastAsia" w:ascii="宋体" w:hAnsi="宋体"/>
                <w:sz w:val="21"/>
                <w:lang w:val="en-US" w:eastAsia="zh-CN"/>
              </w:rPr>
              <w:drawing>
                <wp:anchor distT="0" distB="0" distL="114300" distR="114300" simplePos="0" relativeHeight="251662336" behindDoc="0" locked="0" layoutInCell="1" allowOverlap="1">
                  <wp:simplePos x="0" y="0"/>
                  <wp:positionH relativeFrom="column">
                    <wp:posOffset>669290</wp:posOffset>
                  </wp:positionH>
                  <wp:positionV relativeFrom="paragraph">
                    <wp:posOffset>-3335020</wp:posOffset>
                  </wp:positionV>
                  <wp:extent cx="640715" cy="300990"/>
                  <wp:effectExtent l="0" t="0" r="6985" b="3810"/>
                  <wp:wrapSquare wrapText="bothSides"/>
                  <wp:docPr id="3"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e01075ba2fecce7a326c4f9b0d154f"/>
                          <pic:cNvPicPr>
                            <a:picLocks noChangeAspect="1"/>
                          </pic:cNvPicPr>
                        </pic:nvPicPr>
                        <pic:blipFill>
                          <a:blip r:embed="rId8"/>
                          <a:stretch>
                            <a:fillRect/>
                          </a:stretch>
                        </pic:blipFill>
                        <pic:spPr>
                          <a:xfrm>
                            <a:off x="0" y="0"/>
                            <a:ext cx="640715" cy="30099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color w:val="000000" w:themeColor="text1"/>
                <w:u w:val="single"/>
                <w:lang w:val="en-US" w:eastAsia="zh-CN"/>
              </w:rPr>
            </w:pPr>
            <w:r>
              <w:rPr>
                <w:rFonts w:hint="eastAsia"/>
              </w:rPr>
              <w:t>最高管理者制定了文件化的管理体系方针：</w:t>
            </w:r>
            <w:r>
              <w:rPr>
                <w:rFonts w:hint="eastAsia"/>
                <w:color w:val="000000" w:themeColor="text1"/>
                <w:u w:val="single"/>
                <w:lang w:val="en-US" w:eastAsia="zh-CN"/>
              </w:rPr>
              <w:t>遵守法规、清洁生产、创新改造、提高能效；</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综合部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胡萍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风险-产品滞销</w:t>
                  </w:r>
                </w:p>
              </w:tc>
              <w:tc>
                <w:tcPr>
                  <w:tcW w:w="3965" w:type="dxa"/>
                </w:tcPr>
                <w:p>
                  <w:pPr>
                    <w:shd w:val="clear" w:color="auto" w:fill="EBF1DE" w:themeFill="accent3" w:themeFillTint="32"/>
                    <w:rPr>
                      <w:rFonts w:hint="default" w:eastAsia="宋体"/>
                      <w:lang w:val="en-US" w:eastAsia="zh-CN"/>
                    </w:rPr>
                  </w:pPr>
                  <w:r>
                    <w:rPr>
                      <w:rFonts w:hint="eastAsia"/>
                      <w:lang w:val="en-US" w:eastAsia="zh-CN"/>
                    </w:rPr>
                    <w:t>加大推销力度，做好维持老顾客的工作。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机遇-产品供不应求</w:t>
                  </w:r>
                </w:p>
              </w:tc>
              <w:tc>
                <w:tcPr>
                  <w:tcW w:w="3965" w:type="dxa"/>
                </w:tcPr>
                <w:p>
                  <w:pPr>
                    <w:shd w:val="clear" w:color="auto" w:fill="EBF1DE" w:themeFill="accent3" w:themeFillTint="32"/>
                    <w:rPr>
                      <w:rFonts w:hint="default" w:eastAsia="宋体"/>
                      <w:lang w:val="en-US" w:eastAsia="zh-CN"/>
                    </w:rPr>
                  </w:pPr>
                  <w:r>
                    <w:rPr>
                      <w:rFonts w:hint="eastAsia"/>
                      <w:lang w:val="en-US" w:eastAsia="zh-CN"/>
                    </w:rPr>
                    <w:t>保证质量、做好顾客关系。</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w:t>
                  </w:r>
                </w:p>
              </w:tc>
              <w:tc>
                <w:tcPr>
                  <w:tcW w:w="3965" w:type="dxa"/>
                </w:tcPr>
                <w:p>
                  <w:pPr>
                    <w:shd w:val="clear" w:color="auto" w:fill="EBF1DE" w:themeFill="accent3" w:themeFillTint="32"/>
                    <w:rPr>
                      <w:rFonts w:hint="default" w:eastAsia="宋体"/>
                      <w:lang w:val="en-US" w:eastAsia="zh-CN"/>
                    </w:rPr>
                  </w:pPr>
                  <w:r>
                    <w:rPr>
                      <w:rFonts w:hint="eastAsia"/>
                      <w:lang w:val="en-US" w:eastAsia="zh-CN"/>
                    </w:rPr>
                    <w:t>做好煤场防火工作，预防火灾的发生。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w:t>
            </w:r>
            <w:r>
              <w:rPr>
                <w:rFonts w:hint="eastAsia"/>
                <w:lang w:eastAsia="zh-CN"/>
              </w:rPr>
              <w:t>☑</w:t>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2022.1</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242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2"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42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shd w:val="clear" w:color="auto" w:fill="auto"/>
                </w:tcPr>
                <w:p>
                  <w:pPr>
                    <w:shd w:val="clear" w:color="auto" w:fill="EBF1DE" w:themeFill="accent3" w:themeFillTint="32"/>
                    <w:jc w:val="left"/>
                    <w:rPr>
                      <w:rFonts w:hint="default" w:eastAsia="宋体"/>
                      <w:lang w:val="en-US" w:eastAsia="zh-CN"/>
                    </w:rPr>
                  </w:pPr>
                  <w:r>
                    <w:rPr>
                      <w:rFonts w:hint="eastAsia" w:ascii="宋体" w:hAnsi="宋体" w:cs="宋体"/>
                      <w:szCs w:val="21"/>
                      <w:lang w:val="en-US" w:eastAsia="zh-CN"/>
                    </w:rPr>
                    <w:t>预制</w:t>
                  </w:r>
                  <w:r>
                    <w:rPr>
                      <w:rFonts w:hint="eastAsia" w:ascii="宋体" w:hAnsi="宋体" w:cs="宋体"/>
                      <w:szCs w:val="21"/>
                    </w:rPr>
                    <w:t>砂浆产品</w:t>
                  </w:r>
                  <w:r>
                    <w:rPr>
                      <w:rFonts w:hint="eastAsia" w:ascii="宋体" w:hAnsi="宋体" w:eastAsia="宋体" w:cs="宋体"/>
                      <w:szCs w:val="21"/>
                    </w:rPr>
                    <w:t>≦</w:t>
                  </w:r>
                  <w:r>
                    <w:rPr>
                      <w:rFonts w:hint="eastAsia" w:ascii="宋体" w:hAnsi="宋体" w:cs="宋体"/>
                      <w:color w:val="000000"/>
                      <w:kern w:val="0"/>
                      <w:szCs w:val="21"/>
                    </w:rPr>
                    <w:t>1.32</w:t>
                  </w:r>
                  <w:r>
                    <w:rPr>
                      <w:rFonts w:hint="eastAsia" w:ascii="宋体" w:hAnsi="宋体" w:cs="宋体"/>
                      <w:color w:val="000000"/>
                      <w:kern w:val="0"/>
                      <w:szCs w:val="21"/>
                      <w:lang w:val="en-US" w:eastAsia="zh-CN"/>
                    </w:rPr>
                    <w:t>kgce/t</w:t>
                  </w:r>
                </w:p>
              </w:tc>
              <w:tc>
                <w:tcPr>
                  <w:tcW w:w="2425" w:type="dxa"/>
                  <w:shd w:val="clear" w:color="auto" w:fill="auto"/>
                  <w:vAlign w:val="center"/>
                </w:tcPr>
                <w:p>
                  <w:pPr>
                    <w:shd w:val="clear" w:color="auto" w:fill="EBF1DE" w:themeFill="accent3" w:themeFillTint="32"/>
                    <w:rPr>
                      <w:rFonts w:hint="default"/>
                      <w:lang w:val="en-US"/>
                    </w:rPr>
                  </w:pPr>
                  <w:r>
                    <w:rPr>
                      <w:rFonts w:hint="eastAsia"/>
                      <w:lang w:val="en-US" w:eastAsia="zh-CN"/>
                    </w:rPr>
                    <w:t>规模生产，避免空载或超载运行</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top"/>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shd w:val="clear" w:color="auto" w:fill="auto"/>
                </w:tcPr>
                <w:p>
                  <w:pPr>
                    <w:shd w:val="clear" w:color="auto" w:fill="EBF1DE" w:themeFill="accent3" w:themeFillTint="32"/>
                  </w:pPr>
                  <w:r>
                    <w:rPr>
                      <w:rFonts w:hint="eastAsia" w:ascii="宋体" w:hAnsi="宋体" w:cs="宋体"/>
                      <w:szCs w:val="21"/>
                    </w:rPr>
                    <w:t>挤塑板产品</w:t>
                  </w:r>
                  <w:r>
                    <w:rPr>
                      <w:rFonts w:hint="eastAsia" w:ascii="宋体" w:hAnsi="宋体" w:eastAsia="宋体" w:cs="宋体"/>
                      <w:szCs w:val="21"/>
                    </w:rPr>
                    <w:t>≦</w:t>
                  </w:r>
                  <w:r>
                    <w:rPr>
                      <w:rFonts w:hint="eastAsia" w:ascii="宋体" w:hAnsi="宋体" w:eastAsia="宋体" w:cs="宋体"/>
                      <w:color w:val="000000"/>
                      <w:kern w:val="0"/>
                      <w:szCs w:val="21"/>
                      <w:lang w:val="en-US" w:eastAsia="zh-CN"/>
                    </w:rPr>
                    <w:t>2.4</w:t>
                  </w:r>
                  <w:r>
                    <w:rPr>
                      <w:rFonts w:hint="eastAsia" w:ascii="宋体" w:hAnsi="宋体" w:cs="宋体"/>
                      <w:color w:val="000000"/>
                      <w:kern w:val="0"/>
                      <w:szCs w:val="21"/>
                    </w:rPr>
                    <w:t>2</w:t>
                  </w:r>
                  <w:r>
                    <w:rPr>
                      <w:rFonts w:hint="eastAsia" w:ascii="宋体" w:hAnsi="宋体" w:cs="宋体"/>
                      <w:color w:val="000000"/>
                      <w:kern w:val="0"/>
                      <w:szCs w:val="21"/>
                      <w:lang w:val="en-US" w:eastAsia="zh-CN"/>
                    </w:rPr>
                    <w:t>kgce/t</w:t>
                  </w:r>
                </w:p>
              </w:tc>
              <w:tc>
                <w:tcPr>
                  <w:tcW w:w="2425" w:type="dxa"/>
                  <w:shd w:val="clear" w:color="auto" w:fill="auto"/>
                  <w:vAlign w:val="center"/>
                </w:tcPr>
                <w:p>
                  <w:pPr>
                    <w:shd w:val="clear" w:color="auto" w:fill="EBF1DE" w:themeFill="accent3" w:themeFillTint="32"/>
                    <w:rPr>
                      <w:rFonts w:ascii="宋体" w:hAnsi="宋体"/>
                    </w:rPr>
                  </w:pPr>
                  <w:r>
                    <w:rPr>
                      <w:rFonts w:hint="eastAsia"/>
                      <w:lang w:val="en-US" w:eastAsia="zh-CN"/>
                    </w:rPr>
                    <w:t>规模生产，避免空载或超载运行</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生产部</w:t>
                  </w:r>
                </w:p>
              </w:tc>
              <w:tc>
                <w:tcPr>
                  <w:tcW w:w="1774" w:type="dxa"/>
                  <w:shd w:val="clear" w:color="auto" w:fill="auto"/>
                  <w:vAlign w:val="top"/>
                </w:tcPr>
                <w:p>
                  <w:pPr>
                    <w:widowControl/>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1.18</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07"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lang w:eastAsia="zh-CN"/>
              </w:rPr>
            </w:pPr>
            <w:r>
              <w:rPr>
                <w:rFonts w:hint="eastAsia"/>
              </w:rPr>
              <w:t>建筑面积9068.66平方米，生产车间2个，库房1个，实验室1个</w:t>
            </w:r>
            <w:r>
              <w:rPr>
                <w:rFonts w:hint="eastAsia"/>
                <w:lang w:eastAsia="zh-CN"/>
              </w:rPr>
              <w:t>；</w:t>
            </w:r>
          </w:p>
          <w:p>
            <w:pPr>
              <w:shd w:val="clear" w:color="auto" w:fill="EBF1DE" w:themeFill="accent3" w:themeFillTint="32"/>
              <w:rPr>
                <w:u w:val="single"/>
              </w:rPr>
            </w:pPr>
            <w:r>
              <w:rPr>
                <w:rFonts w:hint="eastAsia"/>
              </w:rPr>
              <w:t>主要生产设备有：</w:t>
            </w:r>
            <w:r>
              <w:rPr>
                <w:rFonts w:hint="eastAsia"/>
                <w:u w:val="single"/>
              </w:rPr>
              <w:t>制砂机</w:t>
            </w:r>
            <w:r>
              <w:rPr>
                <w:rFonts w:hint="eastAsia"/>
                <w:u w:val="single"/>
                <w:lang w:eastAsia="zh-CN"/>
              </w:rPr>
              <w:t>、</w:t>
            </w:r>
            <w:r>
              <w:rPr>
                <w:rFonts w:hint="eastAsia"/>
                <w:u w:val="single"/>
              </w:rPr>
              <w:t>圆锥式破碎机</w:t>
            </w:r>
            <w:r>
              <w:rPr>
                <w:rFonts w:hint="eastAsia"/>
                <w:u w:val="single"/>
                <w:lang w:eastAsia="zh-CN"/>
              </w:rPr>
              <w:t>、</w:t>
            </w:r>
            <w:r>
              <w:rPr>
                <w:rFonts w:hint="eastAsia"/>
                <w:u w:val="single"/>
                <w:lang w:val="en-US" w:eastAsia="zh-CN"/>
              </w:rPr>
              <w:t>螺杆、回收造粒机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制砂机</w:t>
            </w:r>
            <w:r>
              <w:rPr>
                <w:rFonts w:hint="eastAsia"/>
                <w:u w:val="single"/>
                <w:lang w:eastAsia="zh-CN"/>
              </w:rPr>
              <w:t>、</w:t>
            </w:r>
            <w:r>
              <w:rPr>
                <w:rFonts w:hint="eastAsia"/>
                <w:u w:val="single"/>
              </w:rPr>
              <w:t>圆锥式破碎机</w:t>
            </w:r>
            <w:r>
              <w:rPr>
                <w:rFonts w:hint="eastAsia"/>
                <w:u w:val="single"/>
                <w:lang w:eastAsia="zh-CN"/>
              </w:rPr>
              <w:t>、</w:t>
            </w:r>
            <w:r>
              <w:rPr>
                <w:rFonts w:hint="eastAsia"/>
                <w:u w:val="single"/>
                <w:lang w:val="en-US" w:eastAsia="zh-CN"/>
              </w:rPr>
              <w:t>螺杆、回收造粒机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2块二级电表。（不符合项）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u w:val="single"/>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u w:val="single"/>
              </w:rPr>
              <w:t>：</w:t>
            </w:r>
            <w:r>
              <w:rPr>
                <w:rFonts w:hint="eastAsia" w:ascii="宋体" w:hAnsi="宋体"/>
                <w:szCs w:val="21"/>
                <w:u w:val="single"/>
              </w:rPr>
              <w:t>《</w:t>
            </w:r>
            <w:r>
              <w:rPr>
                <w:rFonts w:ascii="宋体" w:hAnsi="宋体"/>
                <w:szCs w:val="21"/>
                <w:u w:val="single"/>
              </w:rPr>
              <w:t>RB/T 114-2014</w:t>
            </w:r>
            <w:r>
              <w:rPr>
                <w:rFonts w:hint="eastAsia" w:ascii="宋体" w:hAnsi="宋体"/>
                <w:szCs w:val="21"/>
                <w:u w:val="single"/>
              </w:rPr>
              <w:t>能源管理体系</w:t>
            </w:r>
            <w:r>
              <w:rPr>
                <w:rFonts w:ascii="宋体" w:hAnsi="宋体"/>
                <w:szCs w:val="21"/>
                <w:u w:val="single"/>
              </w:rPr>
              <w:t xml:space="preserve"> </w:t>
            </w:r>
            <w:r>
              <w:rPr>
                <w:rFonts w:hint="eastAsia" w:ascii="宋体" w:hAnsi="宋体"/>
                <w:szCs w:val="21"/>
                <w:u w:val="single"/>
              </w:rPr>
              <w:t>纯碱、焦化、橡胶制品、制药等化工企业认证要求》和《</w:t>
            </w:r>
            <w:r>
              <w:rPr>
                <w:rFonts w:ascii="宋体" w:hAnsi="宋体"/>
                <w:szCs w:val="21"/>
                <w:u w:val="single"/>
              </w:rPr>
              <w:t>RB/T 121-2016</w:t>
            </w:r>
            <w:r>
              <w:rPr>
                <w:rFonts w:hint="eastAsia" w:ascii="宋体" w:hAnsi="宋体"/>
                <w:szCs w:val="21"/>
                <w:u w:val="single"/>
              </w:rPr>
              <w:t>能源管理体系</w:t>
            </w:r>
            <w:r>
              <w:rPr>
                <w:rFonts w:ascii="宋体" w:hAnsi="宋体"/>
                <w:szCs w:val="21"/>
                <w:u w:val="single"/>
              </w:rPr>
              <w:t xml:space="preserve"> </w:t>
            </w:r>
            <w:r>
              <w:rPr>
                <w:rFonts w:hint="eastAsia" w:ascii="宋体" w:hAnsi="宋体"/>
                <w:szCs w:val="21"/>
                <w:u w:val="single"/>
              </w:rPr>
              <w:t>建材（不含水泥、玻璃、陶瓷）企业认证要求》</w:t>
            </w:r>
            <w:r>
              <w:rPr>
                <w:rFonts w:hint="eastAsia" w:ascii="宋体" w:hAnsi="宋体"/>
                <w:szCs w:val="21"/>
                <w:u w:val="single"/>
                <w:lang w:eastAsia="zh-CN"/>
              </w:rPr>
              <w:t>（</w:t>
            </w:r>
            <w:r>
              <w:rPr>
                <w:rFonts w:hint="eastAsia" w:ascii="宋体" w:hAnsi="宋体"/>
                <w:szCs w:val="21"/>
                <w:u w:val="single"/>
                <w:lang w:val="en-US" w:eastAsia="zh-CN"/>
              </w:rPr>
              <w:t>不符合项）。</w:t>
            </w: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操作规程</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作业文件</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工艺卡片</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接收准则</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工艺流程图</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能源采购</w:t>
            </w:r>
            <w:r>
              <w:rPr>
                <w:rFonts w:hint="eastAsia"/>
                <w:lang w:eastAsia="zh-CN"/>
              </w:rPr>
              <w:t>☑</w:t>
            </w:r>
            <w:r>
              <w:rPr>
                <w:rFonts w:hint="eastAsia"/>
              </w:rPr>
              <w:t>主要用能设备采购</w:t>
            </w:r>
            <w:r>
              <w:rPr>
                <w:rFonts w:hint="eastAsia"/>
                <w:lang w:eastAsia="zh-CN"/>
              </w:rPr>
              <w:t>□</w:t>
            </w:r>
            <w:r>
              <w:rPr>
                <w:rFonts w:hint="eastAsia"/>
              </w:rPr>
              <w:t>淘汰落后设备更新</w:t>
            </w:r>
            <w:r>
              <w:rPr>
                <w:rFonts w:hint="eastAsia"/>
                <w:lang w:eastAsia="zh-CN"/>
              </w:rPr>
              <w:t>☑</w:t>
            </w:r>
            <w:r>
              <w:rPr>
                <w:rFonts w:hint="eastAsia"/>
              </w:rPr>
              <w:t>能源计量器具采购</w:t>
            </w:r>
            <w:r>
              <w:rPr>
                <w:rFonts w:hint="eastAsia"/>
                <w:lang w:eastAsia="zh-CN"/>
              </w:rPr>
              <w:t>□</w:t>
            </w:r>
            <w:r>
              <w:rPr>
                <w:rFonts w:hint="eastAsia"/>
              </w:rPr>
              <w:t>其他</w:t>
            </w:r>
          </w:p>
          <w:p>
            <w:pPr>
              <w:shd w:val="clear" w:color="auto" w:fill="EBF1DE" w:themeFill="accent3" w:themeFillTint="32"/>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现场检查</w:t>
            </w:r>
            <w:r>
              <w:rPr>
                <w:rFonts w:hint="eastAsia"/>
                <w:lang w:eastAsia="zh-CN"/>
              </w:rPr>
              <w:t>□</w:t>
            </w:r>
            <w:r>
              <w:rPr>
                <w:rFonts w:hint="eastAsia"/>
              </w:rPr>
              <w:t>其他</w:t>
            </w:r>
          </w:p>
          <w:p>
            <w:pPr>
              <w:shd w:val="clear" w:color="auto" w:fill="EBF1DE" w:themeFill="accent3" w:themeFillTint="32"/>
              <w:jc w:val="left"/>
              <w:rPr>
                <w:rFonts w:hint="eastAsia"/>
              </w:rPr>
            </w:pPr>
            <w:r>
              <w:rPr>
                <w:rFonts w:hint="eastAsia"/>
              </w:rPr>
              <w:t>对外部供方的控制：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rPr>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规模生产，办公空调节约用电</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ascii="宋体" w:hAnsi="宋体" w:eastAsia="宋体" w:cs="宋体"/>
                <w:szCs w:val="21"/>
              </w:rPr>
              <w:t>2021年11月10日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themeColor="text1"/>
                <w:szCs w:val="18"/>
                <w:u w:val="single"/>
              </w:rPr>
              <w:t>202</w:t>
            </w:r>
            <w:r>
              <w:rPr>
                <w:color w:val="000000" w:themeColor="text1"/>
                <w:szCs w:val="18"/>
                <w:u w:val="single"/>
              </w:rPr>
              <w:t xml:space="preserve">1 </w:t>
            </w:r>
            <w:r>
              <w:rPr>
                <w:rFonts w:hint="eastAsia"/>
                <w:color w:val="000000" w:themeColor="text1"/>
                <w:szCs w:val="18"/>
              </w:rPr>
              <w:t>年</w:t>
            </w:r>
            <w:r>
              <w:rPr>
                <w:rFonts w:hint="eastAsia"/>
                <w:color w:val="000000" w:themeColor="text1"/>
                <w:szCs w:val="18"/>
                <w:u w:val="single"/>
              </w:rPr>
              <w:t xml:space="preserve"> 1</w:t>
            </w:r>
            <w:r>
              <w:rPr>
                <w:color w:val="000000" w:themeColor="text1"/>
                <w:szCs w:val="18"/>
                <w:u w:val="single"/>
              </w:rPr>
              <w:t xml:space="preserve">1 </w:t>
            </w:r>
            <w:r>
              <w:rPr>
                <w:rFonts w:hint="eastAsia"/>
                <w:color w:val="000000" w:themeColor="text1"/>
                <w:szCs w:val="18"/>
              </w:rPr>
              <w:t>月</w:t>
            </w:r>
            <w:r>
              <w:rPr>
                <w:rFonts w:hint="eastAsia"/>
                <w:color w:val="000000" w:themeColor="text1"/>
                <w:szCs w:val="18"/>
                <w:u w:val="single"/>
              </w:rPr>
              <w:t xml:space="preserve"> </w:t>
            </w:r>
            <w:r>
              <w:rPr>
                <w:color w:val="000000" w:themeColor="text1"/>
                <w:szCs w:val="18"/>
                <w:u w:val="single"/>
              </w:rPr>
              <w:t>2</w:t>
            </w:r>
            <w:r>
              <w:rPr>
                <w:rFonts w:hint="eastAsia"/>
                <w:color w:val="000000" w:themeColor="text1"/>
                <w:szCs w:val="18"/>
                <w:u w:val="single"/>
              </w:rPr>
              <w:t>0</w:t>
            </w:r>
            <w:r>
              <w:rPr>
                <w:color w:val="000000" w:themeColor="text1"/>
                <w:szCs w:val="18"/>
                <w:u w:val="single"/>
              </w:rPr>
              <w:t xml:space="preserve"> </w:t>
            </w:r>
            <w:r>
              <w:rPr>
                <w:rFonts w:hint="eastAsia"/>
                <w:color w:val="000000" w:themeColor="text1"/>
                <w:szCs w:val="18"/>
              </w:rPr>
              <w:t>日至</w:t>
            </w:r>
            <w:r>
              <w:rPr>
                <w:rFonts w:hint="eastAsia"/>
                <w:color w:val="000000" w:themeColor="text1"/>
                <w:szCs w:val="18"/>
                <w:u w:val="single"/>
              </w:rPr>
              <w:t>11</w:t>
            </w:r>
            <w:r>
              <w:rPr>
                <w:rFonts w:hint="eastAsia"/>
                <w:color w:val="000000" w:themeColor="text1"/>
                <w:szCs w:val="18"/>
              </w:rPr>
              <w:t>月</w:t>
            </w:r>
            <w:r>
              <w:rPr>
                <w:color w:val="000000" w:themeColor="text1"/>
                <w:szCs w:val="18"/>
                <w:u w:val="single"/>
              </w:rPr>
              <w:t>2</w:t>
            </w:r>
            <w:r>
              <w:rPr>
                <w:rFonts w:hint="eastAsia"/>
                <w:color w:val="000000" w:themeColor="text1"/>
                <w:szCs w:val="18"/>
                <w:u w:val="single"/>
              </w:rPr>
              <w:t>1</w:t>
            </w:r>
            <w:r>
              <w:rPr>
                <w:rFonts w:hint="eastAsia"/>
              </w:rPr>
              <w:t>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themeColor="text1"/>
                <w:szCs w:val="18"/>
                <w:u w:val="single"/>
              </w:rPr>
              <w:t>202</w:t>
            </w:r>
            <w:r>
              <w:rPr>
                <w:color w:val="000000" w:themeColor="text1"/>
                <w:szCs w:val="18"/>
                <w:u w:val="single"/>
              </w:rPr>
              <w:t xml:space="preserve">1 </w:t>
            </w:r>
            <w:r>
              <w:rPr>
                <w:rFonts w:hint="eastAsia"/>
                <w:color w:val="000000" w:themeColor="text1"/>
                <w:szCs w:val="18"/>
              </w:rPr>
              <w:t>年</w:t>
            </w:r>
            <w:r>
              <w:rPr>
                <w:rFonts w:hint="eastAsia"/>
                <w:color w:val="000000" w:themeColor="text1"/>
                <w:szCs w:val="18"/>
                <w:u w:val="single"/>
              </w:rPr>
              <w:t xml:space="preserve"> 1</w:t>
            </w:r>
            <w:r>
              <w:rPr>
                <w:color w:val="000000" w:themeColor="text1"/>
                <w:szCs w:val="18"/>
                <w:u w:val="single"/>
              </w:rPr>
              <w:t xml:space="preserve">2 </w:t>
            </w:r>
            <w:r>
              <w:rPr>
                <w:rFonts w:hint="eastAsia"/>
                <w:color w:val="000000" w:themeColor="text1"/>
                <w:szCs w:val="18"/>
              </w:rPr>
              <w:t>月</w:t>
            </w:r>
            <w:r>
              <w:rPr>
                <w:rFonts w:hint="eastAsia"/>
                <w:color w:val="000000" w:themeColor="text1"/>
                <w:szCs w:val="18"/>
                <w:u w:val="single"/>
              </w:rPr>
              <w:t xml:space="preserve"> </w:t>
            </w:r>
            <w:r>
              <w:rPr>
                <w:color w:val="000000" w:themeColor="text1"/>
                <w:szCs w:val="18"/>
                <w:u w:val="single"/>
              </w:rPr>
              <w:t xml:space="preserve"> 1</w:t>
            </w:r>
            <w:r>
              <w:rPr>
                <w:rFonts w:hint="eastAsia"/>
                <w:color w:val="000000" w:themeColor="text1"/>
                <w:szCs w:val="18"/>
                <w:u w:val="single"/>
              </w:rPr>
              <w:t>0</w:t>
            </w:r>
            <w:r>
              <w:rPr>
                <w:color w:val="000000" w:themeColor="text1"/>
                <w:szCs w:val="18"/>
                <w:u w:val="single"/>
              </w:rPr>
              <w:t xml:space="preserve">  </w:t>
            </w:r>
            <w:r>
              <w:rPr>
                <w:rFonts w:hint="eastAsia"/>
                <w:color w:val="000000" w:themeColor="text1"/>
                <w:szCs w:val="18"/>
              </w:rPr>
              <w:t>日</w:t>
            </w:r>
            <w:r>
              <w:rPr>
                <w:rFonts w:hint="eastAsia"/>
              </w:rPr>
              <w:t>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p>
      <w:pPr>
        <w:pStyle w:val="2"/>
      </w:pPr>
    </w:p>
    <w:p>
      <w:pPr>
        <w:pStyle w:val="2"/>
      </w:pPr>
    </w:p>
    <w:tbl>
      <w:tblPr>
        <w:tblStyle w:val="8"/>
        <w:tblW w:w="98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3"/>
        <w:gridCol w:w="743"/>
        <w:gridCol w:w="743"/>
        <w:gridCol w:w="743"/>
        <w:gridCol w:w="743"/>
        <w:gridCol w:w="743"/>
        <w:gridCol w:w="743"/>
        <w:gridCol w:w="743"/>
        <w:gridCol w:w="743"/>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7"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3" w:type="dxa"/>
            <w:shd w:val="clear" w:color="auto" w:fill="EBF1DE" w:themeFill="accent3" w:themeFillTint="32"/>
            <w:vAlign w:val="center"/>
          </w:tcPr>
          <w:p>
            <w:pPr>
              <w:shd w:val="clear" w:color="auto" w:fill="EBF1DE" w:themeFill="accent3" w:themeFillTint="32"/>
            </w:pPr>
            <w:r>
              <w:rPr>
                <w:rFonts w:hint="eastAsia"/>
              </w:rPr>
              <w:t>7.2</w:t>
            </w:r>
          </w:p>
        </w:tc>
        <w:tc>
          <w:tcPr>
            <w:tcW w:w="743" w:type="dxa"/>
            <w:shd w:val="clear" w:color="auto" w:fill="EBF1DE" w:themeFill="accent3" w:themeFillTint="32"/>
            <w:vAlign w:val="center"/>
          </w:tcPr>
          <w:p>
            <w:pPr>
              <w:shd w:val="clear" w:color="auto" w:fill="EBF1DE" w:themeFill="accent3" w:themeFillTint="32"/>
            </w:pPr>
            <w:r>
              <w:rPr>
                <w:rFonts w:hint="eastAsia"/>
              </w:rPr>
              <w:t>7.3</w:t>
            </w:r>
          </w:p>
        </w:tc>
        <w:tc>
          <w:tcPr>
            <w:tcW w:w="743" w:type="dxa"/>
            <w:shd w:val="clear" w:color="auto" w:fill="EBF1DE" w:themeFill="accent3" w:themeFillTint="32"/>
            <w:vAlign w:val="center"/>
          </w:tcPr>
          <w:p>
            <w:pPr>
              <w:shd w:val="clear" w:color="auto" w:fill="EBF1DE" w:themeFill="accent3" w:themeFillTint="32"/>
            </w:pPr>
            <w:r>
              <w:rPr>
                <w:rFonts w:hint="eastAsia"/>
              </w:rPr>
              <w:t>7.4</w:t>
            </w:r>
          </w:p>
        </w:tc>
        <w:tc>
          <w:tcPr>
            <w:tcW w:w="743" w:type="dxa"/>
            <w:shd w:val="clear" w:color="auto" w:fill="EBF1DE" w:themeFill="accent3" w:themeFillTint="32"/>
            <w:vAlign w:val="center"/>
          </w:tcPr>
          <w:p>
            <w:pPr>
              <w:shd w:val="clear" w:color="auto" w:fill="EBF1DE" w:themeFill="accent3" w:themeFillTint="32"/>
            </w:pPr>
            <w:r>
              <w:rPr>
                <w:rFonts w:hint="eastAsia"/>
              </w:rPr>
              <w:t>7.5</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7"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3"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3" w:type="dxa"/>
            <w:shd w:val="clear" w:color="auto" w:fill="EBF1DE" w:themeFill="accent3" w:themeFillTint="32"/>
            <w:vAlign w:val="center"/>
          </w:tcPr>
          <w:p>
            <w:pPr>
              <w:shd w:val="clear" w:color="auto" w:fill="EBF1DE" w:themeFill="accent3" w:themeFillTint="32"/>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3" w:type="dxa"/>
            <w:shd w:val="clear" w:color="auto" w:fill="EBF1DE" w:themeFill="accent3" w:themeFillTint="32"/>
            <w:vAlign w:val="center"/>
          </w:tcPr>
          <w:p>
            <w:pPr>
              <w:shd w:val="clear" w:color="auto" w:fill="EBF1DE" w:themeFill="accent3" w:themeFillTint="32"/>
            </w:pPr>
            <w:r>
              <w:rPr>
                <w:rFonts w:hint="eastAsia"/>
              </w:rPr>
              <w:t>8.3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3"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3" w:type="dxa"/>
            <w:shd w:val="clear" w:color="auto" w:fill="EBF1DE" w:themeFill="accent3" w:themeFillTint="32"/>
            <w:vAlign w:val="center"/>
          </w:tcPr>
          <w:p>
            <w:pPr>
              <w:shd w:val="clear" w:color="auto" w:fill="EBF1DE" w:themeFill="accent3" w:themeFillTint="32"/>
              <w:rPr>
                <w:lang w:eastAsia="ja-JP"/>
              </w:rPr>
            </w:pPr>
          </w:p>
        </w:tc>
        <w:tc>
          <w:tcPr>
            <w:tcW w:w="747"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1087A28"/>
    <w:rsid w:val="270F1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2022-04-21T00:31:16Z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