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0162-2018-2019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丰城市东鹏陶瓷有限公司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设备动力部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苏芳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现场查看</w:t>
            </w:r>
            <w:r>
              <w:rPr>
                <w:rFonts w:hint="eastAsia" w:ascii="宋体" w:hAnsi="宋体"/>
                <w:color w:val="auto"/>
                <w:szCs w:val="21"/>
              </w:rPr>
              <w:t>计量检测外部服务供方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材料，发现</w:t>
            </w:r>
            <w:r>
              <w:rPr>
                <w:rFonts w:hint="eastAsia" w:ascii="宋体" w:hAnsi="宋体"/>
                <w:color w:val="auto"/>
                <w:szCs w:val="21"/>
              </w:rPr>
              <w:t>江西省计量测试研究院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有资质证明和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授权范围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但没有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评价和监视记录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GB/T-19022-2003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中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u w:val="single"/>
                <w:lang w:val="en-US" w:eastAsia="zh-CN"/>
              </w:rPr>
              <w:t xml:space="preserve"> 6.4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/OATXAAAACQEA&#10;AA8AAAAAAAAAAQAgAAAAIgAAAGRycy9kb3ducmV2LnhtbFBLAQIUABQAAAAIAIdO4kBT7Dz2qQEA&#10;ACwDAAAOAAAAAAAAAAEAIAAAACY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3F/09IAAAADAQAADwAAAAAAAAABACAAAAAiAAAAZHJz&#10;L2Rvd25yZXYueG1sUEsBAhQAFAAAAAgAh07iQKbHS1DRAQAAkgMAAA4AAAAAAAAAAQAgAAAAIQEA&#10;AGRycy9lMm9Eb2MueG1sUEsFBgAAAAAGAAYAWQEAAGQ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69B5"/>
    <w:rsid w:val="0D327D1E"/>
    <w:rsid w:val="2D237A27"/>
    <w:rsid w:val="2DA35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cp:lastPrinted>2019-12-14T09:53:48Z</cp:lastPrinted>
  <dcterms:modified xsi:type="dcterms:W3CDTF">2019-12-14T09:54:12Z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