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0253-2022-QEO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杭州威成实业有限公司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杭州威成实业有限公司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浙江省杭州市桐庐县江南镇高山路518号</w:t>
            </w:r>
            <w:bookmarkEnd w:id="6"/>
          </w:p>
        </w:tc>
        <w:tc>
          <w:tcPr>
            <w:tcW w:w="1242" w:type="dxa"/>
            <w:vMerge w:val="restart"/>
            <w:vAlign w:val="center"/>
          </w:tcPr>
          <w:p>
            <w:r>
              <w:rPr>
                <w:rFonts w:hint="eastAsia"/>
              </w:rPr>
              <w:t>邮编</w:t>
            </w:r>
          </w:p>
        </w:tc>
        <w:tc>
          <w:tcPr>
            <w:tcW w:w="1771" w:type="dxa"/>
          </w:tcPr>
          <w:p>
            <w:bookmarkStart w:id="7" w:name="注册邮编"/>
            <w:r>
              <w:t>324000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浙江省杭州市桐庐县江南镇高山路518号</w:t>
            </w:r>
            <w:bookmarkEnd w:id="8"/>
          </w:p>
        </w:tc>
        <w:tc>
          <w:tcPr>
            <w:tcW w:w="1242" w:type="dxa"/>
            <w:vMerge w:val="continue"/>
            <w:vAlign w:val="center"/>
          </w:tcPr>
          <w:p/>
        </w:tc>
        <w:tc>
          <w:tcPr>
            <w:tcW w:w="1771" w:type="dxa"/>
          </w:tcPr>
          <w:p>
            <w:bookmarkStart w:id="9" w:name="办公邮编"/>
            <w:r>
              <w:t>324000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苏玉乔</w:t>
            </w:r>
            <w:bookmarkEnd w:id="10"/>
          </w:p>
        </w:tc>
        <w:tc>
          <w:tcPr>
            <w:tcW w:w="1313" w:type="dxa"/>
            <w:vAlign w:val="center"/>
          </w:tcPr>
          <w:p>
            <w:r>
              <w:rPr>
                <w:rFonts w:hint="eastAsia"/>
              </w:rPr>
              <w:t>电话</w:t>
            </w:r>
          </w:p>
        </w:tc>
        <w:tc>
          <w:tcPr>
            <w:tcW w:w="2180" w:type="dxa"/>
            <w:vAlign w:val="center"/>
          </w:tcPr>
          <w:p>
            <w:bookmarkStart w:id="11" w:name="联系人电话"/>
            <w:r>
              <w:t>13805786106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苏玉乔</w:t>
            </w:r>
            <w:bookmarkEnd w:id="13"/>
          </w:p>
        </w:tc>
        <w:tc>
          <w:tcPr>
            <w:tcW w:w="1313" w:type="dxa"/>
            <w:vAlign w:val="center"/>
          </w:tcPr>
          <w:p>
            <w:r>
              <w:rPr>
                <w:rFonts w:hint="eastAsia"/>
              </w:rPr>
              <w:t>管理者代表</w:t>
            </w:r>
          </w:p>
        </w:tc>
        <w:tc>
          <w:tcPr>
            <w:tcW w:w="2180" w:type="dxa"/>
          </w:tcPr>
          <w:p>
            <w:bookmarkStart w:id="14" w:name="管理者代表"/>
            <w:r>
              <w:t>苏玉乔</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default"/>
                <w:lang w:val="en-US" w:eastAsia="zh-CN"/>
              </w:rPr>
              <w:t>混料→吸料→吹塑→收卷→胶印→制袋→成品入库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2022年03月28日 下午至2022年03月30日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Q：塑料薄膜、塑料袋（许可要求除外）的生产</w:t>
            </w:r>
          </w:p>
          <w:p>
            <w:r>
              <w:t>E：塑料薄膜、塑料袋（许可要求除外）的生产所涉及场所的相关环境管理活动</w:t>
            </w:r>
          </w:p>
          <w:p>
            <w:r>
              <w:t>O：塑料薄膜、塑料袋（许可要求除外）的生产所涉及场所的相关职业健康安全管理活动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Q：09.01.02;14.02.01;14.02.02</w:t>
            </w:r>
          </w:p>
          <w:p>
            <w:r>
              <w:t>E：09.01.02;14.02.01;14.02.02</w:t>
            </w:r>
          </w:p>
          <w:p>
            <w:r>
              <w:t>O：09.01.02;14.02.01;14.02.02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蒋建峰</w:t>
            </w:r>
          </w:p>
        </w:tc>
        <w:tc>
          <w:tcPr>
            <w:tcW w:w="1089" w:type="dxa"/>
            <w:vAlign w:val="center"/>
          </w:tcPr>
          <w:p>
            <w:r>
              <w:t>组员</w:t>
            </w:r>
          </w:p>
        </w:tc>
        <w:tc>
          <w:tcPr>
            <w:tcW w:w="711" w:type="dxa"/>
            <w:vAlign w:val="center"/>
          </w:tcPr>
          <w:p>
            <w:r>
              <w:t>男</w:t>
            </w:r>
          </w:p>
        </w:tc>
        <w:tc>
          <w:tcPr>
            <w:tcW w:w="3870" w:type="dxa"/>
            <w:vAlign w:val="center"/>
          </w:tcPr>
          <w:p>
            <w:r>
              <w:t>ISC[S]0424</w:t>
            </w:r>
          </w:p>
          <w:p>
            <w:r>
              <w:t>ISC[S]0424</w:t>
            </w:r>
          </w:p>
          <w:p>
            <w:r>
              <w:t>ISC[S]0424</w:t>
            </w:r>
          </w:p>
          <w:p>
            <w:r>
              <w:t>杭州昊海企业管理咨询有限公司</w:t>
            </w:r>
          </w:p>
        </w:tc>
        <w:tc>
          <w:tcPr>
            <w:tcW w:w="2179" w:type="dxa"/>
            <w:vAlign w:val="center"/>
          </w:tcPr>
          <w:p>
            <w:r>
              <w:t>Q:14.02.01,14.02.02</w:t>
            </w:r>
          </w:p>
          <w:p>
            <w:r>
              <w:t>E:14.02.01,14.02.02</w:t>
            </w:r>
          </w:p>
          <w:p>
            <w:r>
              <w:t>O:14.02.01,14.02.02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朱焕琦</w:t>
            </w:r>
          </w:p>
        </w:tc>
        <w:tc>
          <w:tcPr>
            <w:tcW w:w="1089" w:type="dxa"/>
            <w:vAlign w:val="center"/>
          </w:tcPr>
          <w:p>
            <w:r>
              <w:t>组员</w:t>
            </w:r>
          </w:p>
        </w:tc>
        <w:tc>
          <w:tcPr>
            <w:tcW w:w="711" w:type="dxa"/>
            <w:vAlign w:val="center"/>
          </w:tcPr>
          <w:p>
            <w:r>
              <w:t>男</w:t>
            </w:r>
          </w:p>
        </w:tc>
        <w:tc>
          <w:tcPr>
            <w:tcW w:w="3870" w:type="dxa"/>
            <w:vAlign w:val="center"/>
          </w:tcPr>
          <w:p>
            <w:r>
              <w:t>ISC-JSZJ-514</w:t>
            </w:r>
          </w:p>
          <w:p>
            <w:r>
              <w:t>ISC-JSZJ-514</w:t>
            </w:r>
          </w:p>
          <w:p>
            <w:r>
              <w:t>ISC-JSZJ-514</w:t>
            </w:r>
          </w:p>
          <w:p>
            <w:r>
              <w:t>桐庐智顺印刷厂</w:t>
            </w:r>
          </w:p>
        </w:tc>
        <w:tc>
          <w:tcPr>
            <w:tcW w:w="2179" w:type="dxa"/>
            <w:vAlign w:val="center"/>
          </w:tcPr>
          <w:p>
            <w:r>
              <w:t>Q:09.01.02</w:t>
            </w:r>
          </w:p>
          <w:p>
            <w:r>
              <w:t>E:09.01.02</w:t>
            </w:r>
          </w:p>
          <w:p>
            <w:r>
              <w:t>O:09.01.02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卢晶</w:t>
            </w:r>
          </w:p>
        </w:tc>
        <w:tc>
          <w:tcPr>
            <w:tcW w:w="1089" w:type="dxa"/>
            <w:vAlign w:val="center"/>
          </w:tcPr>
          <w:p>
            <w:r>
              <w:t>组员</w:t>
            </w:r>
          </w:p>
        </w:tc>
        <w:tc>
          <w:tcPr>
            <w:tcW w:w="711" w:type="dxa"/>
            <w:vAlign w:val="center"/>
          </w:tcPr>
          <w:p>
            <w:r>
              <w:t>女</w:t>
            </w:r>
          </w:p>
        </w:tc>
        <w:tc>
          <w:tcPr>
            <w:tcW w:w="3870" w:type="dxa"/>
            <w:vAlign w:val="center"/>
          </w:tcPr>
          <w:p>
            <w:r>
              <w:t>2020-N0QMS-1251867</w:t>
            </w:r>
          </w:p>
          <w:p>
            <w:r>
              <w:t>2021-N0EMS-1251867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E:14.02.01,14.02.02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3</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bl>
    <w:p>
      <w:pPr>
        <w:pStyle w:val="2"/>
        <w:rPr>
          <w:rFonts w:hint="eastAsia" w:eastAsia="宋体"/>
          <w:lang w:eastAsia="zh-CN"/>
        </w:rPr>
      </w:pPr>
      <w:bookmarkStart w:id="34" w:name="_GoBack"/>
      <w:bookmarkEnd w:id="34"/>
      <w:r>
        <w:rPr>
          <w:rFonts w:hint="eastAsia" w:eastAsia="宋体"/>
          <w:lang w:eastAsia="zh-CN"/>
        </w:rPr>
        <w:drawing>
          <wp:anchor distT="0" distB="0" distL="114300" distR="114300" simplePos="0" relativeHeight="251661312" behindDoc="0" locked="0" layoutInCell="1" allowOverlap="1">
            <wp:simplePos x="0" y="0"/>
            <wp:positionH relativeFrom="column">
              <wp:posOffset>-444500</wp:posOffset>
            </wp:positionH>
            <wp:positionV relativeFrom="paragraph">
              <wp:posOffset>-712470</wp:posOffset>
            </wp:positionV>
            <wp:extent cx="7159625" cy="9842500"/>
            <wp:effectExtent l="0" t="0" r="3175" b="0"/>
            <wp:wrapSquare wrapText="bothSides"/>
            <wp:docPr id="1" name="图片 1" descr="89417bc8dd853d212f07a0100662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417bc8dd853d212f07a0100662e30"/>
                    <pic:cNvPicPr>
                      <a:picLocks noChangeAspect="1"/>
                    </pic:cNvPicPr>
                  </pic:nvPicPr>
                  <pic:blipFill>
                    <a:blip r:embed="rId6"/>
                    <a:stretch>
                      <a:fillRect/>
                    </a:stretch>
                  </pic:blipFill>
                  <pic:spPr>
                    <a:xfrm>
                      <a:off x="0" y="0"/>
                      <a:ext cx="7159625" cy="9842500"/>
                    </a:xfrm>
                    <a:prstGeom prst="rect">
                      <a:avLst/>
                    </a:prstGeom>
                  </pic:spPr>
                </pic:pic>
              </a:graphicData>
            </a:graphic>
          </wp:anchor>
        </w:drawing>
      </w: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eastAsia="宋体"/>
                <w:lang w:eastAsia="zh-CN"/>
              </w:rPr>
            </w:pPr>
            <w:r>
              <w:rPr>
                <w:rFonts w:hint="eastAsia"/>
              </w:rPr>
              <w:t>最高管理者制定了文件化的管理体系方针</w:t>
            </w:r>
            <w:r>
              <w:rPr>
                <w:rFonts w:hint="eastAsia"/>
                <w:lang w:eastAsia="zh-CN"/>
              </w:rPr>
              <w:t>（</w:t>
            </w:r>
            <w:r>
              <w:rPr>
                <w:rFonts w:hint="eastAsia"/>
                <w:lang w:val="en-US" w:eastAsia="zh-CN"/>
              </w:rPr>
              <w:t>一体化</w:t>
            </w:r>
            <w:r>
              <w:rPr>
                <w:rFonts w:hint="eastAsia"/>
                <w:lang w:eastAsia="zh-CN"/>
              </w:rPr>
              <w:t>）</w:t>
            </w:r>
            <w:r>
              <w:rPr>
                <w:rFonts w:hint="eastAsia"/>
              </w:rPr>
              <w:t>：</w:t>
            </w:r>
            <w:r>
              <w:rPr>
                <w:rFonts w:hint="eastAsia"/>
                <w:color w:val="000000"/>
                <w:szCs w:val="18"/>
              </w:rPr>
              <w:t>精心制作、提升品质、立足市场、顾客满意；规范操作，减少环境污染</w:t>
            </w:r>
            <w:r>
              <w:rPr>
                <w:rFonts w:hint="eastAsia"/>
                <w:color w:val="000000"/>
                <w:szCs w:val="18"/>
                <w:lang w:eastAsia="zh-CN"/>
              </w:rPr>
              <w:t>；</w:t>
            </w:r>
            <w:r>
              <w:rPr>
                <w:rFonts w:hint="eastAsia"/>
                <w:color w:val="000000"/>
                <w:szCs w:val="18"/>
              </w:rPr>
              <w:t>关爱生命，预防安全事故</w:t>
            </w:r>
            <w:r>
              <w:rPr>
                <w:rFonts w:hint="eastAsia"/>
                <w:color w:val="000000"/>
                <w:szCs w:val="18"/>
                <w:lang w:eastAsia="zh-CN"/>
              </w:rPr>
              <w:t>；</w:t>
            </w:r>
            <w:r>
              <w:rPr>
                <w:rFonts w:hint="eastAsia"/>
                <w:color w:val="000000"/>
                <w:szCs w:val="18"/>
              </w:rPr>
              <w:t>遵纪守法，追求不断改进</w:t>
            </w:r>
            <w:r>
              <w:rPr>
                <w:rFonts w:hint="eastAsia"/>
                <w:color w:val="000000"/>
                <w:szCs w:val="18"/>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lang w:val="en-US" w:eastAsia="zh-CN"/>
                    </w:rPr>
                    <w:t>因漏检或误检导致不合格原材料（配件）投入使用导致产品</w:t>
                  </w:r>
                  <w:r>
                    <w:rPr>
                      <w:rFonts w:hint="eastAsia"/>
                    </w:rPr>
                    <w:t>质量风险</w:t>
                  </w:r>
                </w:p>
              </w:tc>
              <w:tc>
                <w:tcPr>
                  <w:tcW w:w="3965" w:type="dxa"/>
                </w:tcPr>
                <w:p>
                  <w:pPr>
                    <w:shd w:val="clear" w:color="auto" w:fill="C7DAF1" w:themeFill="text2" w:themeFillTint="32"/>
                  </w:pPr>
                  <w:r>
                    <w:rPr>
                      <w:rFonts w:hint="eastAsia"/>
                    </w:rPr>
                    <w:t>建立和运行（过程和产品的监视和测量控制程序）、（外部提供产品、服务和过程控制程序）（不合格输出控制程序）</w:t>
                  </w: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因生产设备故障或检测设备失效导致生产工艺技术不合格</w:t>
                  </w:r>
                </w:p>
              </w:tc>
              <w:tc>
                <w:tcPr>
                  <w:tcW w:w="3965" w:type="dxa"/>
                </w:tcPr>
                <w:p>
                  <w:pPr>
                    <w:shd w:val="clear" w:color="auto" w:fill="C7DAF1" w:themeFill="text2" w:themeFillTint="32"/>
                  </w:pPr>
                  <w:r>
                    <w:rPr>
                      <w:rFonts w:hint="eastAsia"/>
                    </w:rPr>
                    <w:t>建立和运行（基础设施管理程序）、（监视和测量资源管理程序）（不合格输出控制程序）</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招聘不当或企业内部员工培养发展不力，造成企业在关键岗位缺乏足以胜任的员工，影响企业经营。</w:t>
                  </w:r>
                </w:p>
              </w:tc>
              <w:tc>
                <w:tcPr>
                  <w:tcW w:w="3965" w:type="dxa"/>
                </w:tcPr>
                <w:p>
                  <w:pPr>
                    <w:shd w:val="clear" w:color="auto" w:fill="C7DAF1" w:themeFill="text2" w:themeFillTint="32"/>
                  </w:pPr>
                  <w:r>
                    <w:rPr>
                      <w:rFonts w:hint="eastAsia"/>
                    </w:rPr>
                    <w:t>招聘合适的人员，定期对员工进行培训，提高能力水平。</w:t>
                  </w:r>
                </w:p>
              </w:tc>
              <w:tc>
                <w:tcPr>
                  <w:tcW w:w="1717" w:type="dxa"/>
                </w:tcPr>
                <w:p>
                  <w:pPr>
                    <w:shd w:val="clear" w:color="auto" w:fill="C7DAF1" w:themeFill="text2" w:themeFillTint="32"/>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rPr>
                  </w:pPr>
                  <w:r>
                    <w:rPr>
                      <w:rFonts w:hint="eastAsia" w:ascii="宋体" w:hAnsi="宋体"/>
                    </w:rPr>
                    <w:t>成品一次性交验合格率≥95%</w:t>
                  </w:r>
                </w:p>
              </w:tc>
              <w:tc>
                <w:tcPr>
                  <w:tcW w:w="3136" w:type="dxa"/>
                  <w:shd w:val="clear" w:color="auto" w:fill="auto"/>
                  <w:vAlign w:val="center"/>
                </w:tcPr>
                <w:p>
                  <w:pPr>
                    <w:shd w:val="clear" w:color="auto" w:fill="C7DAF1" w:themeFill="text2" w:themeFillTint="32"/>
                    <w:rPr>
                      <w:rFonts w:hint="eastAsia" w:ascii="宋体" w:hAnsi="宋体"/>
                      <w:lang w:val="en-GB"/>
                    </w:rPr>
                  </w:pPr>
                  <w:r>
                    <w:rPr>
                      <w:rFonts w:hint="eastAsia" w:ascii="宋体" w:hAnsi="宋体"/>
                    </w:rPr>
                    <w:t>合格率＝交验合格数÷交验总数×100%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rPr>
                  </w:pPr>
                  <w:r>
                    <w:rPr>
                      <w:rFonts w:hint="eastAsia" w:ascii="宋体" w:hAnsi="宋体"/>
                    </w:rPr>
                    <w:t>顾客满意度≥95%</w:t>
                  </w:r>
                </w:p>
              </w:tc>
              <w:tc>
                <w:tcPr>
                  <w:tcW w:w="3136" w:type="dxa"/>
                  <w:shd w:val="clear" w:color="auto" w:fill="auto"/>
                  <w:vAlign w:val="center"/>
                </w:tcPr>
                <w:p>
                  <w:pPr>
                    <w:shd w:val="clear" w:color="auto" w:fill="C7DAF1" w:themeFill="text2" w:themeFillTint="32"/>
                    <w:rPr>
                      <w:rFonts w:hint="eastAsia" w:ascii="宋体" w:hAnsi="宋体"/>
                    </w:rPr>
                  </w:pPr>
                  <w:r>
                    <w:rPr>
                      <w:rFonts w:hint="eastAsia" w:ascii="宋体" w:hAnsi="宋体"/>
                    </w:rPr>
                    <w:t>满意率＝顾客满意分数总数÷总分数×100%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rPr>
                  </w:pPr>
                  <w:r>
                    <w:rPr>
                      <w:rFonts w:hint="eastAsia" w:ascii="宋体" w:hAnsi="宋体"/>
                    </w:rPr>
                    <w:t>计划生产完成率100%</w:t>
                  </w:r>
                </w:p>
              </w:tc>
              <w:tc>
                <w:tcPr>
                  <w:tcW w:w="3136" w:type="dxa"/>
                  <w:shd w:val="clear" w:color="auto" w:fill="auto"/>
                  <w:vAlign w:val="center"/>
                </w:tcPr>
                <w:p>
                  <w:pPr>
                    <w:shd w:val="clear" w:color="auto" w:fill="C7DAF1" w:themeFill="text2" w:themeFillTint="32"/>
                    <w:rPr>
                      <w:rFonts w:hint="eastAsia" w:ascii="宋体" w:hAnsi="宋体"/>
                    </w:rPr>
                  </w:pPr>
                  <w:r>
                    <w:rPr>
                      <w:rFonts w:hint="eastAsia" w:ascii="宋体" w:hAnsi="宋体"/>
                    </w:rPr>
                    <w:t>完成率=生产完成数/总计划数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华文细黑" w:hAnsi="华文细黑" w:eastAsia="华文细黑" w:cs="华文细黑"/>
                <w:color w:val="auto"/>
                <w:szCs w:val="21"/>
                <w:lang w:val="en-US" w:eastAsia="zh-CN"/>
              </w:rPr>
              <w:t>10880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color w:val="000000"/>
                <w:szCs w:val="21"/>
                <w:u w:val="single"/>
              </w:rPr>
              <w:t>吹膜机</w:t>
            </w:r>
            <w:r>
              <w:rPr>
                <w:rFonts w:hint="eastAsia"/>
                <w:color w:val="000000"/>
                <w:szCs w:val="21"/>
                <w:u w:val="single"/>
                <w:lang w:eastAsia="zh-CN"/>
              </w:rPr>
              <w:t>、</w:t>
            </w:r>
            <w:r>
              <w:rPr>
                <w:rFonts w:hint="eastAsia"/>
                <w:color w:val="000000"/>
                <w:szCs w:val="21"/>
                <w:u w:val="single"/>
              </w:rPr>
              <w:t>胶印机</w:t>
            </w:r>
            <w:r>
              <w:rPr>
                <w:rFonts w:hint="eastAsia"/>
                <w:color w:val="000000"/>
                <w:szCs w:val="21"/>
                <w:u w:val="single"/>
                <w:lang w:eastAsia="zh-CN"/>
              </w:rPr>
              <w:t>、</w:t>
            </w:r>
            <w:r>
              <w:rPr>
                <w:rFonts w:hint="eastAsia"/>
                <w:color w:val="000000"/>
                <w:szCs w:val="21"/>
                <w:u w:val="single"/>
              </w:rPr>
              <w:t>制袋机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钢卷尺、千分尺、电子秤（列举1~4种）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A3"/>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A3"/>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eastAsia="宋体" w:cs="Times New Roman"/>
                <w:u w:val="single"/>
                <w:lang w:val="en-US" w:eastAsia="zh-CN"/>
              </w:rPr>
              <w:t>全生物降解膜</w:t>
            </w:r>
            <w:r>
              <w:rPr>
                <w:rFonts w:hint="eastAsia" w:ascii="Times New Roman" w:hAnsi="Times New Roman" w:eastAsia="宋体" w:cs="Times New Roman"/>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A3"/>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812"/>
              <w:gridCol w:w="4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2812" w:type="dxa"/>
                </w:tcPr>
                <w:p>
                  <w:pPr>
                    <w:shd w:val="clear" w:color="auto" w:fill="C7DAF1" w:themeFill="text2" w:themeFillTint="32"/>
                    <w:jc w:val="left"/>
                  </w:pPr>
                  <w:r>
                    <w:rPr>
                      <w:rFonts w:hint="eastAsia"/>
                    </w:rPr>
                    <w:t>关键过程</w:t>
                  </w:r>
                </w:p>
              </w:tc>
              <w:tc>
                <w:tcPr>
                  <w:tcW w:w="4118"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塑料袋</w:t>
                  </w:r>
                </w:p>
              </w:tc>
              <w:tc>
                <w:tcPr>
                  <w:tcW w:w="2812" w:type="dxa"/>
                </w:tcPr>
                <w:p>
                  <w:pPr>
                    <w:shd w:val="clear" w:color="auto" w:fill="C7DAF1" w:themeFill="text2" w:themeFillTint="32"/>
                    <w:jc w:val="left"/>
                    <w:rPr>
                      <w:rFonts w:hint="default" w:eastAsia="宋体"/>
                      <w:lang w:val="en-US" w:eastAsia="zh-CN"/>
                    </w:rPr>
                  </w:pPr>
                  <w:r>
                    <w:rPr>
                      <w:rFonts w:hint="eastAsia"/>
                      <w:lang w:val="en-US" w:eastAsia="zh-CN"/>
                    </w:rPr>
                    <w:t>吹塑、胶印</w:t>
                  </w:r>
                </w:p>
              </w:tc>
              <w:tc>
                <w:tcPr>
                  <w:tcW w:w="4118" w:type="dxa"/>
                </w:tcPr>
                <w:p>
                  <w:pPr>
                    <w:shd w:val="clear" w:color="auto" w:fill="C7DAF1" w:themeFill="text2" w:themeFillTint="32"/>
                    <w:jc w:val="left"/>
                    <w:rPr>
                      <w:rFonts w:hint="default" w:eastAsia="宋体"/>
                      <w:lang w:val="en-US" w:eastAsia="zh-CN"/>
                    </w:rPr>
                  </w:pPr>
                  <w:r>
                    <w:rPr>
                      <w:rFonts w:hint="eastAsia"/>
                      <w:lang w:val="en-US" w:eastAsia="zh-CN"/>
                    </w:rPr>
                    <w:t>厚度、吹膜色差/印刷色差、上墨效果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塑料薄膜</w:t>
                  </w:r>
                </w:p>
              </w:tc>
              <w:tc>
                <w:tcPr>
                  <w:tcW w:w="2812" w:type="dxa"/>
                </w:tcPr>
                <w:p>
                  <w:pPr>
                    <w:shd w:val="clear" w:color="auto" w:fill="C7DAF1" w:themeFill="text2" w:themeFillTint="32"/>
                    <w:jc w:val="left"/>
                    <w:rPr>
                      <w:rFonts w:hint="default" w:eastAsia="宋体"/>
                      <w:lang w:val="en-US" w:eastAsia="zh-CN"/>
                    </w:rPr>
                  </w:pPr>
                  <w:r>
                    <w:rPr>
                      <w:rFonts w:hint="eastAsia"/>
                      <w:lang w:val="en-US" w:eastAsia="zh-CN"/>
                    </w:rPr>
                    <w:t>吹塑、胶印</w:t>
                  </w:r>
                </w:p>
              </w:tc>
              <w:tc>
                <w:tcPr>
                  <w:tcW w:w="4118" w:type="dxa"/>
                </w:tcPr>
                <w:p>
                  <w:pPr>
                    <w:shd w:val="clear" w:color="auto" w:fill="C7DAF1" w:themeFill="text2" w:themeFillTint="32"/>
                    <w:jc w:val="left"/>
                  </w:pPr>
                  <w:r>
                    <w:rPr>
                      <w:rFonts w:hint="eastAsia"/>
                      <w:lang w:val="en-US" w:eastAsia="zh-CN"/>
                    </w:rPr>
                    <w:t>厚度、吹膜色差/印刷色差、上墨效果</w:t>
                  </w:r>
                </w:p>
              </w:tc>
            </w:tr>
          </w:tbl>
          <w:p>
            <w:pPr>
              <w:shd w:val="clear" w:color="auto" w:fill="C7DAF1" w:themeFill="text2" w:themeFillTint="32"/>
              <w:jc w:val="left"/>
            </w:pPr>
            <w:r>
              <w:rPr>
                <w:rFonts w:hint="eastAsia"/>
              </w:rPr>
              <w:t>需要确认的过程：</w:t>
            </w:r>
            <w:r>
              <w:rPr>
                <w:rFonts w:hint="eastAsia"/>
                <w:lang w:val="en-US" w:eastAsia="zh-CN"/>
              </w:rPr>
              <w:t>胶印</w:t>
            </w:r>
            <w:r>
              <w:rPr>
                <w:rFonts w:hint="eastAsia"/>
              </w:rPr>
              <w:t>，</w:t>
            </w: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lang w:val="en-US" w:eastAsia="zh-CN"/>
              </w:rPr>
              <w:t>原材料你</w:t>
            </w:r>
            <w:r>
              <w:rPr>
                <w:rFonts w:hint="eastAsia"/>
              </w:rPr>
              <w:t>《型式检验报告》，如：</w:t>
            </w:r>
            <w:r>
              <w:rPr>
                <w:rFonts w:hint="eastAsia"/>
                <w:color w:val="000000"/>
              </w:rPr>
              <w:t>报告编号：</w:t>
            </w:r>
            <w:r>
              <w:rPr>
                <w:rFonts w:hint="eastAsia"/>
                <w:color w:val="000000"/>
                <w:u w:val="single"/>
              </w:rPr>
              <w:t>244326777b 001全生物降解颗粒/全生物降解膜</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r>
              <w:rPr>
                <w:rFonts w:hint="eastAsia"/>
                <w:lang w:val="en-US" w:eastAsia="zh-CN"/>
              </w:rPr>
              <w:t>-2日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A3"/>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color w:val="000000"/>
                <w:szCs w:val="18"/>
              </w:rPr>
              <w:t>精心制作、提升品质、立足市场、顾客满意；规范操作，减少环境污染</w:t>
            </w:r>
            <w:r>
              <w:rPr>
                <w:rFonts w:hint="eastAsia"/>
                <w:color w:val="000000"/>
                <w:szCs w:val="18"/>
                <w:lang w:eastAsia="zh-CN"/>
              </w:rPr>
              <w:t>；</w:t>
            </w:r>
            <w:r>
              <w:rPr>
                <w:rFonts w:hint="eastAsia"/>
                <w:color w:val="000000"/>
                <w:szCs w:val="18"/>
              </w:rPr>
              <w:t>关爱生命，预防安全事故</w:t>
            </w:r>
            <w:r>
              <w:rPr>
                <w:rFonts w:hint="eastAsia"/>
                <w:color w:val="000000"/>
                <w:szCs w:val="18"/>
                <w:lang w:eastAsia="zh-CN"/>
              </w:rPr>
              <w:t>；</w:t>
            </w:r>
            <w:r>
              <w:rPr>
                <w:rFonts w:hint="eastAsia"/>
                <w:color w:val="000000"/>
                <w:szCs w:val="18"/>
              </w:rPr>
              <w:t>遵纪守法，追求不断改进</w:t>
            </w:r>
            <w:r>
              <w:rPr>
                <w:rFonts w:hint="eastAsia"/>
                <w:color w:val="000000"/>
                <w:szCs w:val="18"/>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4"/>
              <w:gridCol w:w="368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24" w:type="dxa"/>
                </w:tcPr>
                <w:p>
                  <w:pPr>
                    <w:shd w:val="clear" w:color="auto" w:fill="EBF1DE" w:themeFill="accent3" w:themeFillTint="32"/>
                  </w:pPr>
                  <w:r>
                    <w:rPr>
                      <w:rFonts w:hint="eastAsia"/>
                    </w:rPr>
                    <w:t>主要的风险或机遇描述</w:t>
                  </w:r>
                </w:p>
              </w:tc>
              <w:tc>
                <w:tcPr>
                  <w:tcW w:w="3680" w:type="dxa"/>
                </w:tcPr>
                <w:p>
                  <w:pPr>
                    <w:shd w:val="clear" w:color="auto" w:fill="EBF1DE" w:themeFill="accent3" w:themeFillTint="32"/>
                  </w:pPr>
                  <w:r>
                    <w:rPr>
                      <w:rFonts w:hint="eastAsia"/>
                    </w:rPr>
                    <w:t>应对措施</w:t>
                  </w:r>
                </w:p>
              </w:tc>
              <w:tc>
                <w:tcPr>
                  <w:tcW w:w="1318" w:type="dxa"/>
                </w:tcPr>
                <w:p>
                  <w:pPr>
                    <w:shd w:val="clear" w:color="auto" w:fill="EBF1DE" w:themeFill="accent3" w:themeFillTint="32"/>
                  </w:pPr>
                  <w:r>
                    <w:rPr>
                      <w:rFonts w:hint="eastAsia"/>
                    </w:rPr>
                    <w:t>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4" w:type="dxa"/>
                </w:tcPr>
                <w:p>
                  <w:pPr>
                    <w:shd w:val="clear" w:color="auto" w:fill="EBF1DE" w:themeFill="accent3" w:themeFillTint="32"/>
                    <w:rPr>
                      <w:rFonts w:hint="default" w:eastAsia="宋体"/>
                      <w:lang w:val="en-US" w:eastAsia="zh-CN"/>
                    </w:rPr>
                  </w:pPr>
                  <w:r>
                    <w:rPr>
                      <w:rFonts w:hint="eastAsia"/>
                      <w:lang w:val="en-US" w:eastAsia="zh-CN"/>
                    </w:rPr>
                    <w:t>废油墨桶等危险固废的排放</w:t>
                  </w:r>
                </w:p>
              </w:tc>
              <w:tc>
                <w:tcPr>
                  <w:tcW w:w="3680" w:type="dxa"/>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管理方案/环境影响运行控制程序</w:t>
                  </w:r>
                </w:p>
              </w:tc>
              <w:tc>
                <w:tcPr>
                  <w:tcW w:w="1318"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4" w:type="dxa"/>
                </w:tcPr>
                <w:p>
                  <w:pPr>
                    <w:shd w:val="clear" w:color="auto" w:fill="EBF1DE" w:themeFill="accent3" w:themeFillTint="32"/>
                    <w:rPr>
                      <w:rFonts w:hint="default" w:eastAsia="宋体"/>
                      <w:lang w:val="en-US" w:eastAsia="zh-CN"/>
                    </w:rPr>
                  </w:pPr>
                  <w:r>
                    <w:rPr>
                      <w:rFonts w:hint="eastAsia"/>
                      <w:lang w:val="en-US" w:eastAsia="zh-CN"/>
                    </w:rPr>
                    <w:t>吹塑、胶印等废气的产生</w:t>
                  </w:r>
                </w:p>
              </w:tc>
              <w:tc>
                <w:tcPr>
                  <w:tcW w:w="3680" w:type="dxa"/>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管理方案/环境影响运行控制控制程序</w:t>
                  </w:r>
                </w:p>
              </w:tc>
              <w:tc>
                <w:tcPr>
                  <w:tcW w:w="1318" w:type="dxa"/>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4" w:type="dxa"/>
                </w:tcPr>
                <w:p>
                  <w:pPr>
                    <w:shd w:val="clear" w:color="auto" w:fill="EBF1DE" w:themeFill="accent3" w:themeFillTint="32"/>
                    <w:rPr>
                      <w:rFonts w:hint="default" w:eastAsia="宋体"/>
                      <w:lang w:val="en-US" w:eastAsia="zh-CN"/>
                    </w:rPr>
                  </w:pPr>
                  <w:r>
                    <w:rPr>
                      <w:rFonts w:hint="eastAsia"/>
                      <w:lang w:val="en-US" w:eastAsia="zh-CN"/>
                    </w:rPr>
                    <w:t>吹塑、胶印、制袋等机械噪声的生产</w:t>
                  </w:r>
                </w:p>
              </w:tc>
              <w:tc>
                <w:tcPr>
                  <w:tcW w:w="3680" w:type="dxa"/>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管理方案/环境影响运行控制程序</w:t>
                  </w:r>
                </w:p>
              </w:tc>
              <w:tc>
                <w:tcPr>
                  <w:tcW w:w="1318" w:type="dxa"/>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4" w:type="dxa"/>
                </w:tcPr>
                <w:p>
                  <w:pPr>
                    <w:shd w:val="clear" w:color="auto" w:fill="EBF1DE" w:themeFill="accent3" w:themeFillTint="32"/>
                  </w:pPr>
                  <w:r>
                    <w:rPr>
                      <w:rFonts w:hint="eastAsia"/>
                    </w:rPr>
                    <w:t>潜在火灾事故的发生</w:t>
                  </w:r>
                </w:p>
              </w:tc>
              <w:tc>
                <w:tcPr>
                  <w:tcW w:w="3680" w:type="dxa"/>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管理方案/应急准备和响应控制程序</w:t>
                  </w:r>
                </w:p>
              </w:tc>
              <w:tc>
                <w:tcPr>
                  <w:tcW w:w="1318" w:type="dxa"/>
                </w:tcPr>
                <w:p>
                  <w:pPr>
                    <w:shd w:val="clear" w:color="auto" w:fill="EBF1DE" w:themeFill="accent3" w:themeFillTint="32"/>
                  </w:pPr>
                  <w:r>
                    <w:rPr>
                      <w:rFonts w:hint="eastAsia"/>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环境影响登记表日期：</w:t>
            </w:r>
            <w:r>
              <w:rPr>
                <w:rFonts w:hint="eastAsia"/>
                <w:lang w:val="en-US" w:eastAsia="zh-CN"/>
              </w:rPr>
              <w:t>2017.12.27</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4"/>
              <w:gridCol w:w="210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10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shd w:val="clear" w:color="auto" w:fill="auto"/>
                </w:tcPr>
                <w:p>
                  <w:pPr>
                    <w:shd w:val="clear" w:color="auto" w:fill="EBF1DE" w:themeFill="accent3" w:themeFillTint="32"/>
                  </w:pPr>
                  <w:r>
                    <w:rPr>
                      <w:rFonts w:hint="eastAsia"/>
                      <w:b w:val="0"/>
                      <w:bCs w:val="0"/>
                    </w:rPr>
                    <w:t>固废按规定分类处置率1</w:t>
                  </w:r>
                  <w:r>
                    <w:rPr>
                      <w:b w:val="0"/>
                      <w:bCs w:val="0"/>
                    </w:rPr>
                    <w:t>00</w:t>
                  </w:r>
                  <w:r>
                    <w:rPr>
                      <w:rFonts w:hint="eastAsia"/>
                      <w:b w:val="0"/>
                      <w:bCs w:val="0"/>
                    </w:rPr>
                    <w:t>%</w:t>
                  </w:r>
                </w:p>
              </w:tc>
              <w:tc>
                <w:tcPr>
                  <w:tcW w:w="2103" w:type="dxa"/>
                  <w:shd w:val="clear" w:color="auto" w:fill="auto"/>
                  <w:vAlign w:val="center"/>
                </w:tcPr>
                <w:p>
                  <w:pPr>
                    <w:shd w:val="clear" w:color="auto" w:fill="EBF1DE" w:themeFill="accent3" w:themeFillTint="32"/>
                    <w:rPr>
                      <w:rFonts w:hint="eastAsia" w:ascii="Times New Roman" w:hAnsi="Times New Roman" w:eastAsia="宋体" w:cs="Times New Roman"/>
                      <w:b w:val="0"/>
                      <w:bCs w:val="0"/>
                      <w:lang w:val="en-GB"/>
                    </w:rPr>
                  </w:pPr>
                  <w:r>
                    <w:rPr>
                      <w:rFonts w:hint="eastAsia" w:ascii="Times New Roman" w:hAnsi="Times New Roman" w:eastAsia="宋体" w:cs="Times New Roman"/>
                      <w:b w:val="0"/>
                      <w:bCs w:val="0"/>
                    </w:rPr>
                    <w:t>处置率=检查合格次数/总次数</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shd w:val="clear" w:color="auto" w:fill="auto"/>
                </w:tcPr>
                <w:p>
                  <w:pPr>
                    <w:shd w:val="clear" w:color="auto" w:fill="EBF1DE" w:themeFill="accent3" w:themeFillTint="32"/>
                  </w:pPr>
                  <w:r>
                    <w:rPr>
                      <w:rFonts w:hint="eastAsia"/>
                      <w:b w:val="0"/>
                      <w:bCs w:val="0"/>
                    </w:rPr>
                    <w:t>废水、废气、噪声达标排放</w:t>
                  </w:r>
                </w:p>
              </w:tc>
              <w:tc>
                <w:tcPr>
                  <w:tcW w:w="2103" w:type="dxa"/>
                  <w:shd w:val="clear" w:color="auto" w:fill="auto"/>
                  <w:vAlign w:val="center"/>
                </w:tcPr>
                <w:p>
                  <w:pPr>
                    <w:shd w:val="clear" w:color="auto" w:fill="EBF1DE" w:themeFill="accent3" w:themeFillTint="32"/>
                    <w:rPr>
                      <w:rFonts w:hint="default" w:ascii="Times New Roman" w:hAnsi="Times New Roman" w:eastAsia="宋体" w:cs="Times New Roman"/>
                      <w:b w:val="0"/>
                      <w:bCs w:val="0"/>
                      <w:lang w:val="en-US"/>
                    </w:rPr>
                  </w:pPr>
                  <w:r>
                    <w:rPr>
                      <w:rFonts w:hint="eastAsia" w:ascii="Times New Roman" w:hAnsi="Times New Roman" w:eastAsia="宋体" w:cs="Times New Roman"/>
                      <w:b w:val="0"/>
                      <w:bCs w:val="0"/>
                      <w:lang w:val="en-US" w:eastAsia="zh-CN"/>
                    </w:rPr>
                    <w:t>定期监测</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shd w:val="clear" w:color="auto" w:fill="auto"/>
                </w:tcPr>
                <w:p>
                  <w:pPr>
                    <w:shd w:val="clear" w:color="auto" w:fill="EBF1DE" w:themeFill="accent3" w:themeFillTint="32"/>
                  </w:pPr>
                  <w:r>
                    <w:rPr>
                      <w:rFonts w:hint="eastAsia"/>
                      <w:b w:val="0"/>
                      <w:bCs w:val="0"/>
                    </w:rPr>
                    <w:t>火灾发生率为0</w:t>
                  </w:r>
                </w:p>
              </w:tc>
              <w:tc>
                <w:tcPr>
                  <w:tcW w:w="2103" w:type="dxa"/>
                  <w:shd w:val="clear" w:color="auto" w:fill="auto"/>
                  <w:vAlign w:val="center"/>
                </w:tcPr>
                <w:p>
                  <w:pPr>
                    <w:shd w:val="clear" w:color="auto" w:fill="EBF1DE" w:themeFill="accent3" w:themeFillTint="32"/>
                    <w:rPr>
                      <w:rFonts w:hint="eastAsia" w:ascii="Times New Roman" w:hAnsi="Times New Roman" w:eastAsia="宋体" w:cs="Times New Roman"/>
                      <w:b w:val="0"/>
                      <w:bCs w:val="0"/>
                    </w:rPr>
                  </w:pPr>
                  <w:r>
                    <w:rPr>
                      <w:rFonts w:hint="eastAsia" w:ascii="Times New Roman" w:hAnsi="Times New Roman" w:eastAsia="宋体" w:cs="Times New Roman"/>
                      <w:b w:val="0"/>
                      <w:bCs w:val="0"/>
                    </w:rPr>
                    <w:t>考核期内统计</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ascii="华文细黑" w:hAnsi="华文细黑" w:eastAsia="华文细黑" w:cs="华文细黑"/>
                <w:color w:val="auto"/>
                <w:szCs w:val="21"/>
                <w:lang w:val="en-US" w:eastAsia="zh-CN"/>
              </w:rPr>
              <w:t>10880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color w:val="000000"/>
                <w:szCs w:val="21"/>
                <w:u w:val="single"/>
              </w:rPr>
              <w:t>吹膜机</w:t>
            </w:r>
            <w:r>
              <w:rPr>
                <w:rFonts w:hint="eastAsia"/>
                <w:color w:val="000000"/>
                <w:szCs w:val="21"/>
                <w:u w:val="single"/>
                <w:lang w:eastAsia="zh-CN"/>
              </w:rPr>
              <w:t>、</w:t>
            </w:r>
            <w:r>
              <w:rPr>
                <w:rFonts w:hint="eastAsia"/>
                <w:color w:val="000000"/>
                <w:szCs w:val="21"/>
                <w:u w:val="single"/>
              </w:rPr>
              <w:t>胶印机</w:t>
            </w:r>
            <w:r>
              <w:rPr>
                <w:rFonts w:hint="eastAsia"/>
                <w:color w:val="000000"/>
                <w:szCs w:val="21"/>
                <w:u w:val="single"/>
                <w:lang w:eastAsia="zh-CN"/>
              </w:rPr>
              <w:t>、</w:t>
            </w:r>
            <w:r>
              <w:rPr>
                <w:rFonts w:hint="eastAsia"/>
                <w:color w:val="000000"/>
                <w:szCs w:val="21"/>
                <w:u w:val="single"/>
              </w:rPr>
              <w:t>制袋机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集气罩、</w:t>
            </w:r>
            <w:r>
              <w:rPr>
                <w:rFonts w:hint="eastAsia" w:ascii="华文细黑" w:hAnsi="华文细黑" w:cs="华文细黑"/>
                <w:szCs w:val="21"/>
                <w:u w:val="single"/>
                <w:lang w:val="en-US" w:eastAsia="zh-CN"/>
              </w:rPr>
              <w:t>喷淋-光催化塔</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钢卷尺、千分尺、电子秤（列举1~4种）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u w:val="single"/>
                <w:lang w:val="en-US" w:eastAsia="zh-CN"/>
              </w:rPr>
              <w:t>全生物降解膜</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能源消耗</w:t>
                  </w:r>
                </w:p>
              </w:tc>
              <w:tc>
                <w:tcPr>
                  <w:tcW w:w="36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资源消耗</w:t>
                  </w:r>
                </w:p>
              </w:tc>
              <w:tc>
                <w:tcPr>
                  <w:tcW w:w="36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运行控制</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废水排放</w:t>
                  </w:r>
                </w:p>
              </w:tc>
              <w:tc>
                <w:tcPr>
                  <w:tcW w:w="36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管理方案/环境影响运行控制程序</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废气排放</w:t>
                  </w:r>
                </w:p>
              </w:tc>
              <w:tc>
                <w:tcPr>
                  <w:tcW w:w="36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管理方案/环境影响运行控制程序</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噪声排放</w:t>
                  </w:r>
                </w:p>
              </w:tc>
              <w:tc>
                <w:tcPr>
                  <w:tcW w:w="36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管理方案/环境影响运行控制程序</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固废排放</w:t>
                  </w:r>
                </w:p>
              </w:tc>
              <w:tc>
                <w:tcPr>
                  <w:tcW w:w="36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管理方案/环境影响运行控制程序</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粉尘排放</w:t>
                  </w:r>
                </w:p>
              </w:tc>
              <w:tc>
                <w:tcPr>
                  <w:tcW w:w="3665" w:type="dxa"/>
                </w:tcPr>
                <w:p>
                  <w:pPr>
                    <w:shd w:val="clear" w:color="auto" w:fill="EBF1DE" w:themeFill="accent3" w:themeFillTint="32"/>
                    <w:jc w:val="left"/>
                    <w:rPr>
                      <w:rFonts w:hint="eastAsia" w:ascii="Times New Roman" w:hAnsi="Times New Roman" w:eastAsia="宋体" w:cs="Times New Roma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火灾</w:t>
                  </w:r>
                </w:p>
              </w:tc>
              <w:tc>
                <w:tcPr>
                  <w:tcW w:w="36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管理方案/应急准备和响应控制程序</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编号</w:t>
            </w:r>
            <w:r>
              <w:rPr>
                <w:rFonts w:hint="eastAsia"/>
                <w:u w:val="single"/>
              </w:rPr>
              <w:t>CH2021C36048</w:t>
            </w:r>
            <w:r>
              <w:rPr>
                <w:rFonts w:hint="eastAsia"/>
                <w:u w:val="single"/>
                <w:lang w:val="en-US" w:eastAsia="zh-CN"/>
              </w:rPr>
              <w:t>的(场内)浙A-79629叉车检验报告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日进行了</w:t>
            </w:r>
            <w:r>
              <w:rPr>
                <w:rFonts w:hint="eastAsia"/>
                <w:lang w:val="en-US" w:eastAsia="zh-CN"/>
              </w:rPr>
              <w:t>消防</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《环境监测报告》编号：碧之源检字（2022）第N158号。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r>
              <w:rPr>
                <w:rFonts w:hint="eastAsia"/>
                <w:lang w:val="en-US" w:eastAsia="zh-CN"/>
              </w:rPr>
              <w:t>-2日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color w:val="000000"/>
                <w:szCs w:val="18"/>
              </w:rPr>
              <w:t>精心制作、提升品质、立足市场、顾客满意；规范操作，减少环境污染</w:t>
            </w:r>
            <w:r>
              <w:rPr>
                <w:rFonts w:hint="eastAsia"/>
                <w:color w:val="000000"/>
                <w:szCs w:val="18"/>
                <w:lang w:eastAsia="zh-CN"/>
              </w:rPr>
              <w:t>；</w:t>
            </w:r>
            <w:r>
              <w:rPr>
                <w:rFonts w:hint="eastAsia"/>
                <w:color w:val="000000"/>
                <w:szCs w:val="18"/>
              </w:rPr>
              <w:t>关爱生命，预防安全事故</w:t>
            </w:r>
            <w:r>
              <w:rPr>
                <w:rFonts w:hint="eastAsia"/>
                <w:color w:val="000000"/>
                <w:szCs w:val="18"/>
                <w:lang w:eastAsia="zh-CN"/>
              </w:rPr>
              <w:t>；</w:t>
            </w:r>
            <w:r>
              <w:rPr>
                <w:rFonts w:hint="eastAsia"/>
                <w:color w:val="000000"/>
                <w:szCs w:val="18"/>
              </w:rPr>
              <w:t>遵纪守法，追求不断改进</w:t>
            </w:r>
            <w:r>
              <w:rPr>
                <w:rFonts w:hint="eastAsia"/>
                <w:color w:val="000000"/>
                <w:szCs w:val="18"/>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r>
              <w:rPr>
                <w:rFonts w:hint="eastAsia"/>
              </w:rPr>
              <w:t>员工代表是——谭彩桥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4"/>
              <w:gridCol w:w="445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r>
                    <w:rPr>
                      <w:rFonts w:hint="eastAsia"/>
                    </w:rPr>
                    <w:t>主要的风险或机遇描述</w:t>
                  </w:r>
                </w:p>
              </w:tc>
              <w:tc>
                <w:tcPr>
                  <w:tcW w:w="445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pPr>
                    <w:rPr>
                      <w:rFonts w:hint="default" w:eastAsia="宋体"/>
                      <w:lang w:val="en-US" w:eastAsia="zh-CN"/>
                    </w:rPr>
                  </w:pPr>
                  <w:r>
                    <w:rPr>
                      <w:rFonts w:hint="eastAsia"/>
                      <w:lang w:val="en-US" w:eastAsia="zh-CN"/>
                    </w:rPr>
                    <w:t>机械伤害</w:t>
                  </w:r>
                </w:p>
              </w:tc>
              <w:tc>
                <w:tcPr>
                  <w:tcW w:w="4451"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规范操作，加强现场管理</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pPr>
                    <w:rPr>
                      <w:rFonts w:hint="default" w:eastAsia="宋体"/>
                      <w:lang w:val="en-US" w:eastAsia="zh-CN"/>
                    </w:rPr>
                  </w:pPr>
                  <w:r>
                    <w:rPr>
                      <w:rFonts w:hint="eastAsia"/>
                      <w:lang w:val="en-US" w:eastAsia="zh-CN"/>
                    </w:rPr>
                    <w:t>传染病的传播</w:t>
                  </w:r>
                </w:p>
              </w:tc>
              <w:tc>
                <w:tcPr>
                  <w:tcW w:w="4451"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做好防护和应急响应工作、遵守疫情防控制度</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pPr>
                    <w:rPr>
                      <w:rFonts w:hint="default" w:eastAsia="宋体"/>
                      <w:lang w:val="en-US" w:eastAsia="zh-CN"/>
                    </w:rPr>
                  </w:pPr>
                  <w:r>
                    <w:rPr>
                      <w:rFonts w:hint="eastAsia"/>
                      <w:lang w:val="en-US" w:eastAsia="zh-CN"/>
                    </w:rPr>
                    <w:t>潜在触电事故的发生</w:t>
                  </w:r>
                </w:p>
              </w:tc>
              <w:tc>
                <w:tcPr>
                  <w:tcW w:w="4451"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规范操作，坚持线路检查，做好应急响应工作</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pPr>
                    <w:rPr>
                      <w:rFonts w:hint="default" w:eastAsia="宋体"/>
                      <w:lang w:val="en-US" w:eastAsia="zh-CN"/>
                    </w:rPr>
                  </w:pPr>
                  <w:r>
                    <w:rPr>
                      <w:rFonts w:hint="eastAsia"/>
                      <w:lang w:val="en-US" w:eastAsia="zh-CN"/>
                    </w:rPr>
                    <w:t>潜在火灾事故的发生</w:t>
                  </w:r>
                </w:p>
              </w:tc>
              <w:tc>
                <w:tcPr>
                  <w:tcW w:w="4451"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应急准备和响应控制</w:t>
                  </w:r>
                </w:p>
              </w:tc>
              <w:tc>
                <w:tcPr>
                  <w:tcW w:w="1717" w:type="dxa"/>
                </w:tcPr>
                <w:p>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w:t>
            </w:r>
            <w:r>
              <w:rPr>
                <w:rFonts w:hint="eastAsia"/>
              </w:rPr>
              <w:sym w:font="Wingdings 2" w:char="0052"/>
            </w:r>
            <w:r>
              <w:rPr>
                <w:rFonts w:hint="eastAsia"/>
              </w:rPr>
              <w:t>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u w:val="none"/>
                <w:lang w:eastAsia="zh-CN"/>
              </w:rPr>
              <w:t>：</w:t>
            </w:r>
            <w:r>
              <w:rPr>
                <w:rFonts w:hint="eastAsia"/>
                <w:u w:val="single"/>
                <w:lang w:val="en-US" w:eastAsia="zh-CN"/>
              </w:rPr>
              <w:t>疫情传播</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color w:val="auto"/>
              </w:rPr>
            </w:pPr>
            <w:r>
              <w:rPr>
                <w:rFonts w:hint="eastAsia"/>
                <w:color w:val="auto"/>
              </w:rPr>
              <w:sym w:font="Wingdings 2" w:char="00A3"/>
            </w:r>
            <w:r>
              <w:rPr>
                <w:rFonts w:hint="eastAsia"/>
                <w:color w:val="auto"/>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w:t>
            </w:r>
            <w:r>
              <w:rPr>
                <w:rFonts w:hint="eastAsia"/>
              </w:rPr>
              <w:sym w:font="Wingdings 2" w:char="00A3"/>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191" w:type="dxa"/>
                  <w:shd w:val="clear" w:color="auto" w:fill="auto"/>
                </w:tcPr>
                <w:p>
                  <w:pPr>
                    <w:rPr>
                      <w:rFonts w:hint="eastAsia" w:ascii="Times New Roman" w:hAnsi="Times New Roman" w:eastAsia="宋体" w:cs="Times New Roman"/>
                      <w:b w:val="0"/>
                      <w:bCs w:val="0"/>
                    </w:rPr>
                  </w:pPr>
                  <w:r>
                    <w:rPr>
                      <w:rFonts w:hint="eastAsia" w:ascii="Times New Roman" w:hAnsi="Times New Roman" w:eastAsia="宋体" w:cs="Times New Roman"/>
                      <w:b w:val="0"/>
                      <w:bCs w:val="0"/>
                    </w:rPr>
                    <w:t>重大安全事故发生率为0</w:t>
                  </w:r>
                </w:p>
              </w:tc>
              <w:tc>
                <w:tcPr>
                  <w:tcW w:w="3136" w:type="dxa"/>
                  <w:vMerge w:val="restart"/>
                  <w:shd w:val="clear" w:color="auto" w:fill="auto"/>
                  <w:vAlign w:val="center"/>
                </w:tcPr>
                <w:p>
                  <w:pPr>
                    <w:rPr>
                      <w:rFonts w:hint="eastAsia" w:ascii="Times New Roman" w:hAnsi="Times New Roman" w:eastAsia="宋体" w:cs="Times New Roman"/>
                      <w:b w:val="0"/>
                      <w:bCs w:val="0"/>
                      <w:lang w:eastAsia="zh-CN"/>
                    </w:rPr>
                  </w:pPr>
                  <w:r>
                    <w:rPr>
                      <w:rFonts w:hint="eastAsia" w:ascii="Times New Roman" w:hAnsi="Times New Roman" w:eastAsia="宋体" w:cs="Times New Roman"/>
                      <w:b w:val="0"/>
                      <w:bCs w:val="0"/>
                      <w:lang w:val="en-US" w:eastAsia="zh-CN"/>
                    </w:rPr>
                    <w:t>1.</w:t>
                  </w:r>
                  <w:r>
                    <w:rPr>
                      <w:rFonts w:hint="eastAsia" w:ascii="Times New Roman" w:hAnsi="Times New Roman" w:eastAsia="宋体" w:cs="Times New Roman"/>
                      <w:b w:val="0"/>
                      <w:bCs w:val="0"/>
                    </w:rPr>
                    <w:t>建立消防责任制和管理制度</w:t>
                  </w:r>
                  <w:r>
                    <w:rPr>
                      <w:rFonts w:hint="eastAsia" w:ascii="Times New Roman" w:hAnsi="Times New Roman" w:eastAsia="宋体" w:cs="Times New Roman"/>
                      <w:b w:val="0"/>
                      <w:bCs w:val="0"/>
                      <w:lang w:eastAsia="zh-CN"/>
                    </w:rPr>
                    <w:t>；</w:t>
                  </w:r>
                </w:p>
                <w:p>
                  <w:pPr>
                    <w:rPr>
                      <w:rFonts w:hint="eastAsia" w:ascii="Times New Roman" w:hAnsi="Times New Roman" w:eastAsia="宋体" w:cs="Times New Roman"/>
                      <w:b w:val="0"/>
                      <w:bCs w:val="0"/>
                      <w:lang w:eastAsia="zh-CN"/>
                    </w:rPr>
                  </w:pPr>
                  <w:r>
                    <w:rPr>
                      <w:rFonts w:hint="eastAsia" w:ascii="Times New Roman" w:hAnsi="Times New Roman" w:eastAsia="宋体" w:cs="Times New Roman"/>
                      <w:b w:val="0"/>
                      <w:bCs w:val="0"/>
                      <w:lang w:val="en-US" w:eastAsia="zh-CN"/>
                    </w:rPr>
                    <w:t>2.</w:t>
                  </w:r>
                  <w:r>
                    <w:rPr>
                      <w:rFonts w:hint="eastAsia" w:ascii="Times New Roman" w:hAnsi="Times New Roman" w:eastAsia="宋体" w:cs="Times New Roman"/>
                      <w:b w:val="0"/>
                      <w:bCs w:val="0"/>
                    </w:rPr>
                    <w:t>配备专用消防器材，有专人负责</w:t>
                  </w:r>
                  <w:r>
                    <w:rPr>
                      <w:rFonts w:hint="eastAsia" w:ascii="Times New Roman" w:hAnsi="Times New Roman" w:eastAsia="宋体" w:cs="Times New Roman"/>
                      <w:b w:val="0"/>
                      <w:bCs w:val="0"/>
                      <w:lang w:eastAsia="zh-CN"/>
                    </w:rPr>
                    <w:t>，</w:t>
                  </w:r>
                  <w:r>
                    <w:rPr>
                      <w:rFonts w:hint="eastAsia" w:ascii="Times New Roman" w:hAnsi="Times New Roman" w:eastAsia="宋体" w:cs="Times New Roman"/>
                      <w:b w:val="0"/>
                      <w:bCs w:val="0"/>
                    </w:rPr>
                    <w:t>加强设备维护</w:t>
                  </w:r>
                  <w:r>
                    <w:rPr>
                      <w:rFonts w:hint="eastAsia" w:ascii="Times New Roman" w:hAnsi="Times New Roman" w:eastAsia="宋体" w:cs="Times New Roman"/>
                      <w:b w:val="0"/>
                      <w:bCs w:val="0"/>
                      <w:lang w:eastAsia="zh-CN"/>
                    </w:rPr>
                    <w:t>；</w:t>
                  </w:r>
                </w:p>
                <w:p>
                  <w:pPr>
                    <w:rPr>
                      <w:rFonts w:hint="eastAsia" w:ascii="Times New Roman" w:hAnsi="Times New Roman" w:eastAsia="宋体" w:cs="Times New Roman"/>
                      <w:b w:val="0"/>
                      <w:bCs w:val="0"/>
                      <w:lang w:eastAsia="zh-CN"/>
                    </w:rPr>
                  </w:pPr>
                  <w:r>
                    <w:rPr>
                      <w:rFonts w:hint="eastAsia" w:ascii="Times New Roman" w:hAnsi="Times New Roman" w:eastAsia="宋体" w:cs="Times New Roman"/>
                      <w:b w:val="0"/>
                      <w:bCs w:val="0"/>
                    </w:rPr>
                    <w:t>3．建立用电管理制度，专人负责管理</w:t>
                  </w:r>
                  <w:r>
                    <w:rPr>
                      <w:rFonts w:hint="eastAsia" w:ascii="Times New Roman" w:hAnsi="Times New Roman" w:eastAsia="宋体" w:cs="Times New Roman"/>
                      <w:b w:val="0"/>
                      <w:bCs w:val="0"/>
                      <w:lang w:eastAsia="zh-CN"/>
                    </w:rPr>
                    <w:t>；</w:t>
                  </w:r>
                </w:p>
                <w:p>
                  <w:pPr>
                    <w:rPr>
                      <w:rFonts w:hint="eastAsia" w:ascii="Times New Roman" w:hAnsi="Times New Roman" w:eastAsia="宋体" w:cs="Times New Roman"/>
                      <w:b w:val="0"/>
                      <w:bCs w:val="0"/>
                      <w:lang w:eastAsia="zh-CN"/>
                    </w:rPr>
                  </w:pPr>
                  <w:r>
                    <w:rPr>
                      <w:rFonts w:hint="eastAsia" w:ascii="Times New Roman" w:hAnsi="Times New Roman" w:eastAsia="宋体" w:cs="Times New Roman"/>
                      <w:b w:val="0"/>
                      <w:bCs w:val="0"/>
                    </w:rPr>
                    <w:t>4</w:t>
                  </w:r>
                  <w:r>
                    <w:rPr>
                      <w:rFonts w:hint="eastAsia" w:ascii="Times New Roman" w:hAnsi="Times New Roman" w:eastAsia="宋体" w:cs="Times New Roman"/>
                      <w:b w:val="0"/>
                      <w:bCs w:val="0"/>
                      <w:lang w:val="en-US" w:eastAsia="zh-CN"/>
                    </w:rPr>
                    <w:t>.</w:t>
                  </w:r>
                  <w:r>
                    <w:rPr>
                      <w:rFonts w:hint="eastAsia" w:ascii="Times New Roman" w:hAnsi="Times New Roman" w:eastAsia="宋体" w:cs="Times New Roman"/>
                      <w:b w:val="0"/>
                      <w:bCs w:val="0"/>
                    </w:rPr>
                    <w:t>制定应急预案</w:t>
                  </w:r>
                  <w:r>
                    <w:rPr>
                      <w:rFonts w:hint="eastAsia" w:ascii="Times New Roman" w:hAnsi="Times New Roman" w:eastAsia="宋体" w:cs="Times New Roman"/>
                      <w:b w:val="0"/>
                      <w:bCs w:val="0"/>
                      <w:lang w:eastAsia="zh-CN"/>
                    </w:rPr>
                    <w:t>；</w:t>
                  </w:r>
                </w:p>
                <w:p>
                  <w:pPr>
                    <w:rPr>
                      <w:rFonts w:hint="eastAsia" w:ascii="宋体" w:hAnsi="宋体" w:eastAsia="宋体" w:cs="宋体"/>
                      <w:sz w:val="18"/>
                      <w:lang w:val="en-GB" w:eastAsia="zh-CN"/>
                    </w:rPr>
                  </w:pPr>
                  <w:r>
                    <w:rPr>
                      <w:rFonts w:hint="eastAsia" w:ascii="Times New Roman" w:hAnsi="Times New Roman" w:eastAsia="宋体" w:cs="Times New Roman"/>
                      <w:b w:val="0"/>
                      <w:bCs w:val="0"/>
                    </w:rPr>
                    <w:t>5</w:t>
                  </w:r>
                  <w:r>
                    <w:rPr>
                      <w:rFonts w:hint="eastAsia" w:ascii="Times New Roman" w:hAnsi="Times New Roman" w:eastAsia="宋体" w:cs="Times New Roman"/>
                      <w:b w:val="0"/>
                      <w:bCs w:val="0"/>
                      <w:lang w:val="en-US" w:eastAsia="zh-CN"/>
                    </w:rPr>
                    <w:t>.</w:t>
                  </w:r>
                  <w:r>
                    <w:rPr>
                      <w:rFonts w:hint="eastAsia" w:ascii="Times New Roman" w:hAnsi="Times New Roman" w:eastAsia="宋体" w:cs="Times New Roman"/>
                      <w:b w:val="0"/>
                      <w:bCs w:val="0"/>
                    </w:rPr>
                    <w:t>加强对员工进行培训教育，培训</w:t>
                  </w:r>
                  <w:r>
                    <w:rPr>
                      <w:rFonts w:hint="eastAsia" w:ascii="Times New Roman" w:hAnsi="Times New Roman" w:eastAsia="宋体" w:cs="Times New Roman"/>
                      <w:b w:val="0"/>
                      <w:bCs w:val="0"/>
                      <w:lang w:eastAsia="zh-CN"/>
                    </w:rPr>
                    <w:t>。</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b w:val="0"/>
                      <w:bCs w:val="0"/>
                    </w:rPr>
                  </w:pPr>
                  <w:r>
                    <w:rPr>
                      <w:rFonts w:hint="eastAsia" w:ascii="Times New Roman" w:hAnsi="Times New Roman" w:eastAsia="宋体" w:cs="Times New Roman"/>
                      <w:b w:val="0"/>
                      <w:bCs w:val="0"/>
                    </w:rPr>
                    <w:t>火灾事故生率为0</w:t>
                  </w:r>
                </w:p>
              </w:tc>
              <w:tc>
                <w:tcPr>
                  <w:tcW w:w="3136" w:type="dxa"/>
                  <w:vMerge w:val="continue"/>
                  <w:shd w:val="clear" w:color="auto" w:fill="auto"/>
                  <w:vAlign w:val="center"/>
                </w:tcPr>
                <w:p>
                  <w:pPr>
                    <w:rPr>
                      <w:rFonts w:hint="eastAsia" w:ascii="Times New Roman" w:hAnsi="Times New Roman" w:eastAsia="宋体" w:cs="Times New Roman"/>
                      <w:b w:val="0"/>
                      <w:bCs w:val="0"/>
                    </w:rPr>
                  </w:pPr>
                </w:p>
              </w:tc>
              <w:tc>
                <w:tcPr>
                  <w:tcW w:w="1350" w:type="dxa"/>
                  <w:shd w:val="clear" w:color="auto" w:fill="auto"/>
                  <w:vAlign w:val="center"/>
                </w:tcPr>
                <w:p>
                  <w:pPr>
                    <w:rPr>
                      <w:rFonts w:hint="default"/>
                      <w:lang w:val="en-US" w:eastAsia="zh-CN"/>
                    </w:rPr>
                  </w:pPr>
                  <w:r>
                    <w:rPr>
                      <w:rFonts w:hint="eastAsia"/>
                      <w:lang w:val="en-US" w:eastAsia="zh-CN"/>
                    </w:rPr>
                    <w:t>综合部</w:t>
                  </w:r>
                </w:p>
              </w:tc>
              <w:tc>
                <w:tcPr>
                  <w:tcW w:w="1774" w:type="dxa"/>
                  <w:shd w:val="clear" w:color="auto" w:fill="auto"/>
                  <w:vAlign w:val="center"/>
                </w:tcPr>
                <w:p>
                  <w:pPr>
                    <w:jc w:val="center"/>
                    <w:rPr>
                      <w:rFonts w:hint="default" w:ascii="宋体" w:hAnsi="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2191" w:type="dxa"/>
                  <w:shd w:val="clear" w:color="auto" w:fill="auto"/>
                </w:tcPr>
                <w:p>
                  <w:pPr>
                    <w:rPr>
                      <w:rFonts w:hint="eastAsia" w:ascii="Times New Roman" w:hAnsi="Times New Roman" w:eastAsia="宋体" w:cs="Times New Roman"/>
                      <w:b w:val="0"/>
                      <w:bCs w:val="0"/>
                    </w:rPr>
                  </w:pPr>
                  <w:r>
                    <w:rPr>
                      <w:rFonts w:hint="eastAsia" w:ascii="Times New Roman" w:hAnsi="Times New Roman" w:eastAsia="宋体" w:cs="Times New Roman"/>
                      <w:b w:val="0"/>
                      <w:bCs w:val="0"/>
                    </w:rPr>
                    <w:t>职业病生率为0</w:t>
                  </w:r>
                </w:p>
              </w:tc>
              <w:tc>
                <w:tcPr>
                  <w:tcW w:w="3136" w:type="dxa"/>
                  <w:vMerge w:val="restart"/>
                  <w:shd w:val="clear" w:color="auto" w:fill="auto"/>
                  <w:vAlign w:val="center"/>
                </w:tcPr>
                <w:p>
                  <w:pPr>
                    <w:rPr>
                      <w:rFonts w:hint="eastAsia" w:ascii="Times New Roman" w:hAnsi="Times New Roman" w:eastAsia="宋体" w:cs="Times New Roman"/>
                      <w:b w:val="0"/>
                      <w:bCs w:val="0"/>
                    </w:rPr>
                  </w:pPr>
                  <w:r>
                    <w:rPr>
                      <w:rFonts w:hint="eastAsia" w:ascii="Times New Roman" w:hAnsi="Times New Roman" w:eastAsia="宋体" w:cs="Times New Roman"/>
                      <w:b w:val="0"/>
                      <w:bCs w:val="0"/>
                      <w:lang w:val="en-US" w:eastAsia="zh-CN"/>
                    </w:rPr>
                    <w:t>1.</w:t>
                  </w:r>
                  <w:r>
                    <w:rPr>
                      <w:rFonts w:hint="eastAsia" w:ascii="Times New Roman" w:hAnsi="Times New Roman" w:eastAsia="宋体" w:cs="Times New Roman"/>
                      <w:b w:val="0"/>
                      <w:bCs w:val="0"/>
                    </w:rPr>
                    <w:t>合理安排劳动时间,不让员工疲劳上班</w:t>
                  </w:r>
                </w:p>
                <w:p>
                  <w:pPr>
                    <w:rPr>
                      <w:rFonts w:hint="eastAsia" w:ascii="Times New Roman" w:hAnsi="Times New Roman" w:eastAsia="宋体" w:cs="Times New Roman"/>
                      <w:b w:val="0"/>
                      <w:bCs w:val="0"/>
                    </w:rPr>
                  </w:pPr>
                  <w:r>
                    <w:rPr>
                      <w:rFonts w:hint="eastAsia" w:ascii="Times New Roman" w:hAnsi="Times New Roman" w:eastAsia="宋体" w:cs="Times New Roman"/>
                      <w:b w:val="0"/>
                      <w:bCs w:val="0"/>
                      <w:lang w:val="en-US" w:eastAsia="zh-CN"/>
                    </w:rPr>
                    <w:t>2.</w:t>
                  </w:r>
                  <w:r>
                    <w:rPr>
                      <w:rFonts w:hint="eastAsia" w:ascii="Times New Roman" w:hAnsi="Times New Roman" w:eastAsia="宋体" w:cs="Times New Roman"/>
                      <w:b w:val="0"/>
                      <w:bCs w:val="0"/>
                    </w:rPr>
                    <w:t>有职业病岗位人员进行职业病体检</w:t>
                  </w:r>
                </w:p>
                <w:p>
                  <w:pPr>
                    <w:rPr>
                      <w:rFonts w:hint="eastAsia" w:ascii="Times New Roman" w:hAnsi="Times New Roman" w:eastAsia="宋体" w:cs="Times New Roman"/>
                      <w:b w:val="0"/>
                      <w:bCs w:val="0"/>
                    </w:rPr>
                  </w:pPr>
                  <w:r>
                    <w:rPr>
                      <w:rFonts w:hint="eastAsia" w:ascii="Times New Roman" w:hAnsi="Times New Roman" w:eastAsia="宋体" w:cs="Times New Roman"/>
                      <w:b w:val="0"/>
                      <w:bCs w:val="0"/>
                      <w:lang w:val="en-US" w:eastAsia="zh-CN"/>
                    </w:rPr>
                    <w:t>3.</w:t>
                  </w:r>
                  <w:r>
                    <w:rPr>
                      <w:rFonts w:hint="eastAsia" w:ascii="Times New Roman" w:hAnsi="Times New Roman" w:eastAsia="宋体" w:cs="Times New Roman"/>
                      <w:b w:val="0"/>
                      <w:bCs w:val="0"/>
                    </w:rPr>
                    <w:t>佩戴耳塞等防护措施</w:t>
                  </w:r>
                </w:p>
                <w:p>
                  <w:pPr>
                    <w:rPr>
                      <w:rFonts w:ascii="宋体" w:hAnsi="宋体"/>
                    </w:rPr>
                  </w:pPr>
                  <w:r>
                    <w:rPr>
                      <w:rFonts w:hint="eastAsia" w:ascii="Times New Roman" w:hAnsi="Times New Roman" w:eastAsia="宋体" w:cs="Times New Roman"/>
                      <w:b w:val="0"/>
                      <w:bCs w:val="0"/>
                      <w:lang w:val="en-US" w:eastAsia="zh-CN"/>
                    </w:rPr>
                    <w:t>4.</w:t>
                  </w:r>
                  <w:r>
                    <w:rPr>
                      <w:rFonts w:hint="eastAsia" w:ascii="Times New Roman" w:hAnsi="Times New Roman" w:eastAsia="宋体" w:cs="Times New Roman"/>
                      <w:b w:val="0"/>
                      <w:bCs w:val="0"/>
                    </w:rPr>
                    <w:t>制定传染病应急预案，对全体员工进行安全教育培训，增强员工自我防护意识</w:t>
                  </w:r>
                </w:p>
              </w:tc>
              <w:tc>
                <w:tcPr>
                  <w:tcW w:w="1350" w:type="dxa"/>
                  <w:vMerge w:val="restart"/>
                  <w:shd w:val="clear" w:color="auto" w:fill="auto"/>
                  <w:vAlign w:val="center"/>
                </w:tcPr>
                <w:p>
                  <w:pPr>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b w:val="0"/>
                      <w:bCs w:val="0"/>
                    </w:rPr>
                  </w:pPr>
                  <w:r>
                    <w:rPr>
                      <w:rFonts w:hint="eastAsia"/>
                      <w:b w:val="0"/>
                      <w:bCs w:val="0"/>
                    </w:rPr>
                    <w:t>传染病发生率为0</w:t>
                  </w:r>
                </w:p>
              </w:tc>
              <w:tc>
                <w:tcPr>
                  <w:tcW w:w="3136" w:type="dxa"/>
                  <w:vMerge w:val="continue"/>
                  <w:shd w:val="clear" w:color="auto" w:fill="auto"/>
                  <w:vAlign w:val="center"/>
                </w:tcPr>
                <w:p>
                  <w:pPr>
                    <w:rPr>
                      <w:rFonts w:ascii="宋体" w:hAnsi="宋体"/>
                    </w:rPr>
                  </w:pPr>
                </w:p>
              </w:tc>
              <w:tc>
                <w:tcPr>
                  <w:tcW w:w="1350" w:type="dxa"/>
                  <w:vMerge w:val="continue"/>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u w:val="single"/>
              </w:rPr>
              <w:t>10880平方米；生产车间1个；库房1个；实验室0个</w:t>
            </w:r>
            <w:r>
              <w:rPr>
                <w:rFonts w:hint="eastAsia"/>
              </w:rPr>
              <w:t>；</w:t>
            </w:r>
          </w:p>
          <w:p>
            <w:pPr>
              <w:rPr>
                <w:rFonts w:hint="eastAsia"/>
              </w:rPr>
            </w:pPr>
            <w:r>
              <w:rPr>
                <w:rFonts w:hint="eastAsia"/>
              </w:rPr>
              <w:t>主要生产设备有：</w:t>
            </w:r>
            <w:r>
              <w:rPr>
                <w:rFonts w:hint="eastAsia"/>
                <w:u w:val="single"/>
              </w:rPr>
              <w:t>吹膜机、胶印机、制袋机</w:t>
            </w:r>
            <w:r>
              <w:rPr>
                <w:rFonts w:hint="eastAsia"/>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A3"/>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sym w:font="Wingdings 2" w:char="00A3"/>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Times New Roman" w:hAnsi="Times New Roman" w:eastAsia="宋体" w:cs="Times New Roman"/>
                <w:u w:val="single"/>
                <w:lang w:val="en-US" w:eastAsia="zh-CN"/>
              </w:rPr>
              <w:t>全生物降解膜</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应急准备和响应</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lang w:val="en-US" w:eastAsia="zh-CN"/>
              </w:rPr>
              <w:t>编号</w:t>
            </w:r>
            <w:r>
              <w:rPr>
                <w:rFonts w:hint="eastAsia"/>
                <w:u w:val="single"/>
              </w:rPr>
              <w:t>CH2021C36048</w:t>
            </w:r>
            <w:r>
              <w:rPr>
                <w:rFonts w:hint="eastAsia"/>
                <w:u w:val="single"/>
                <w:lang w:val="en-US" w:eastAsia="zh-CN"/>
              </w:rPr>
              <w:t>的(场内)浙A-79629叉车检验报告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eastAsia="宋体" w:cs="Times New Roman"/>
              </w:rPr>
            </w:pPr>
            <w:r>
              <w:rPr>
                <w:rFonts w:hint="eastAsia" w:ascii="Wingdings" w:hAnsi="Wingdings"/>
                <w:lang w:eastAsia="zh-CN"/>
              </w:rPr>
              <w:sym w:font="Wingdings 2" w:char="0052"/>
            </w:r>
            <w:r>
              <w:rPr>
                <w:rFonts w:hint="eastAsia"/>
              </w:rPr>
              <w:t>定期（每年）</w:t>
            </w:r>
            <w:r>
              <w:rPr>
                <w:rFonts w:hint="eastAsia" w:ascii="Times New Roman" w:hAnsi="Times New Roman" w:eastAsia="宋体" w:cs="Times New Roman"/>
              </w:rPr>
              <w:t>：</w:t>
            </w:r>
            <w:r>
              <w:rPr>
                <w:rFonts w:hint="eastAsia" w:ascii="Times New Roman" w:hAnsi="Times New Roman" w:eastAsia="宋体" w:cs="Times New Roman"/>
                <w:lang w:val="en-US" w:eastAsia="zh-CN"/>
              </w:rPr>
              <w:t>2022年1月18日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pPr>
              <w:rPr>
                <w:rFonts w:hint="eastAsia" w:ascii="Times New Roman" w:hAnsi="Times New Roman" w:eastAsia="宋体" w:cs="Times New Roman"/>
              </w:rPr>
            </w:pPr>
            <w:r>
              <w:rPr>
                <w:rFonts w:hint="eastAsia"/>
              </w:rPr>
              <w:t>《作业场所有害物质监测报告》编号：</w:t>
            </w:r>
            <w:r>
              <w:rPr>
                <w:rFonts w:hint="eastAsia" w:ascii="Times New Roman" w:hAnsi="Times New Roman" w:eastAsia="宋体" w:cs="Times New Roman"/>
                <w:u w:val="single"/>
                <w:lang w:val="en-US" w:eastAsia="zh-CN"/>
              </w:rPr>
              <w:t>苏环（JH）字（2022）第P032104号</w:t>
            </w:r>
            <w:r>
              <w:rPr>
                <w:rFonts w:hint="eastAsia" w:ascii="Times New Roman" w:hAnsi="Times New Roman" w:eastAsia="宋体" w:cs="Times New Roman"/>
              </w:rPr>
              <w:t>。</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A3"/>
            </w:r>
            <w:r>
              <w:rPr>
                <w:rFonts w:hint="eastAsia"/>
              </w:rPr>
              <w:t>在职（定期）。</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r>
              <w:rPr>
                <w:rFonts w:hint="eastAsia"/>
                <w:lang w:val="en-US" w:eastAsia="zh-CN"/>
              </w:rPr>
              <w:t>-2日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0E0D93"/>
    <w:rsid w:val="04C82992"/>
    <w:rsid w:val="08511B36"/>
    <w:rsid w:val="0C37664F"/>
    <w:rsid w:val="0DB42190"/>
    <w:rsid w:val="0E320E7D"/>
    <w:rsid w:val="0E356BBF"/>
    <w:rsid w:val="0F9B0EE8"/>
    <w:rsid w:val="115737A6"/>
    <w:rsid w:val="12C01BDA"/>
    <w:rsid w:val="14FB27C8"/>
    <w:rsid w:val="175B7522"/>
    <w:rsid w:val="17DD00AB"/>
    <w:rsid w:val="18BD1268"/>
    <w:rsid w:val="1C9A47BD"/>
    <w:rsid w:val="1F63358C"/>
    <w:rsid w:val="1F845AC6"/>
    <w:rsid w:val="211A5A75"/>
    <w:rsid w:val="23531B69"/>
    <w:rsid w:val="23856963"/>
    <w:rsid w:val="24E30CCB"/>
    <w:rsid w:val="259E6685"/>
    <w:rsid w:val="2CE101E6"/>
    <w:rsid w:val="2DF027EB"/>
    <w:rsid w:val="2E0D016A"/>
    <w:rsid w:val="309F63EE"/>
    <w:rsid w:val="30BF083E"/>
    <w:rsid w:val="313A1763"/>
    <w:rsid w:val="3194356F"/>
    <w:rsid w:val="321D4E26"/>
    <w:rsid w:val="324339E2"/>
    <w:rsid w:val="33580335"/>
    <w:rsid w:val="3D5E4F3B"/>
    <w:rsid w:val="3DFA1C39"/>
    <w:rsid w:val="400A4A04"/>
    <w:rsid w:val="41FE06F6"/>
    <w:rsid w:val="423224F1"/>
    <w:rsid w:val="42AF7E87"/>
    <w:rsid w:val="4968786D"/>
    <w:rsid w:val="49DA7035"/>
    <w:rsid w:val="4F271630"/>
    <w:rsid w:val="4FA33EF3"/>
    <w:rsid w:val="515F72D3"/>
    <w:rsid w:val="53191BD8"/>
    <w:rsid w:val="548E182E"/>
    <w:rsid w:val="55560EC1"/>
    <w:rsid w:val="56602FA9"/>
    <w:rsid w:val="56C430F6"/>
    <w:rsid w:val="5818245E"/>
    <w:rsid w:val="5ADA39FB"/>
    <w:rsid w:val="5CA03352"/>
    <w:rsid w:val="5D4567E9"/>
    <w:rsid w:val="5EAA7B88"/>
    <w:rsid w:val="6045400C"/>
    <w:rsid w:val="62984021"/>
    <w:rsid w:val="63447CA3"/>
    <w:rsid w:val="637B7D03"/>
    <w:rsid w:val="6C6B0089"/>
    <w:rsid w:val="6F187D41"/>
    <w:rsid w:val="7052137C"/>
    <w:rsid w:val="74000587"/>
    <w:rsid w:val="7A855718"/>
    <w:rsid w:val="7F5578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2022-04-06T02:14:00Z</cp:lastPrinted>
  <dcterms:modified xsi:type="dcterms:W3CDTF">2022-04-19T00:57:42Z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