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0271-2022-QO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兴泰宏科（成都）能源装备有限公司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2022年03月28日 上午至2022年03月28日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2019-N1QMS-3093566</w:t>
            </w:r>
          </w:p>
          <w:p>
            <w:pPr>
              <w:spacing w:line="240" w:lineRule="exact"/>
              <w:jc w:val="center"/>
              <w:rPr>
                <w:b/>
                <w:color w:val="000000"/>
                <w:szCs w:val="21"/>
              </w:rPr>
            </w:pPr>
            <w:r>
              <w:rPr>
                <w:b/>
                <w:color w:val="000000"/>
                <w:szCs w:val="21"/>
              </w:rPr>
              <w:t>2019-N1OHSMS-2093566</w:t>
            </w:r>
          </w:p>
        </w:tc>
        <w:tc>
          <w:tcPr>
            <w:tcW w:w="1140" w:type="dxa"/>
            <w:vAlign w:val="center"/>
          </w:tcPr>
          <w:p>
            <w:pPr>
              <w:spacing w:line="240" w:lineRule="exact"/>
              <w:jc w:val="center"/>
              <w:rPr>
                <w:b/>
                <w:color w:val="000000"/>
                <w:szCs w:val="21"/>
              </w:rPr>
            </w:pPr>
            <w:r>
              <w:rPr>
                <w:b/>
                <w:color w:val="000000"/>
                <w:szCs w:val="21"/>
              </w:rPr>
              <w:t>Q:18.05.02,19.05.01,34.06.00</w:t>
            </w:r>
          </w:p>
          <w:p>
            <w:pPr>
              <w:spacing w:line="240" w:lineRule="exact"/>
              <w:jc w:val="center"/>
              <w:rPr>
                <w:b/>
                <w:color w:val="000000"/>
                <w:szCs w:val="21"/>
              </w:rPr>
            </w:pPr>
            <w:r>
              <w:rPr>
                <w:b/>
                <w:color w:val="000000"/>
                <w:szCs w:val="21"/>
              </w:rPr>
              <w:t>O:18.05.02,19.05.01,34.06.00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2020-N1QMS-1247783</w:t>
            </w:r>
          </w:p>
          <w:p>
            <w:pPr>
              <w:spacing w:line="240" w:lineRule="exact"/>
              <w:jc w:val="center"/>
              <w:rPr>
                <w:b/>
                <w:color w:val="000000"/>
                <w:szCs w:val="21"/>
              </w:rPr>
            </w:pPr>
            <w:r>
              <w:rPr>
                <w:b/>
                <w:color w:val="000000"/>
                <w:szCs w:val="21"/>
              </w:rPr>
              <w:t>2021-N1OHSMS-1247783</w:t>
            </w:r>
          </w:p>
        </w:tc>
        <w:tc>
          <w:tcPr>
            <w:tcW w:w="1140" w:type="dxa"/>
            <w:vAlign w:val="center"/>
          </w:tcPr>
          <w:p>
            <w:pPr>
              <w:spacing w:line="240" w:lineRule="exact"/>
              <w:jc w:val="center"/>
              <w:rPr>
                <w:b/>
                <w:color w:val="000000"/>
                <w:szCs w:val="21"/>
              </w:rPr>
            </w:pPr>
            <w:r>
              <w:rPr>
                <w:b/>
                <w:color w:val="000000"/>
                <w:szCs w:val="21"/>
              </w:rPr>
              <w:t>Q:34.06.00</w:t>
            </w:r>
          </w:p>
          <w:p>
            <w:pPr>
              <w:spacing w:line="240" w:lineRule="exact"/>
              <w:jc w:val="center"/>
              <w:rPr>
                <w:b/>
                <w:color w:val="000000"/>
                <w:szCs w:val="21"/>
              </w:rPr>
            </w:pPr>
            <w:r>
              <w:rPr>
                <w:b/>
                <w:color w:val="000000"/>
                <w:szCs w:val="21"/>
              </w:rPr>
              <w:t>O:18.05.02,19.05.01,34.06.00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杨庆</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2020-N1QMS-1263525</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兴泰宏科（成都）能源装备有限公司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四川省成都经济技术开发区（龙泉驿区）车城东五路200号第二号厂房</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四川省成都经济技术开发区（龙泉驿区）车城东五路200号第二号厂房</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610100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王志强</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13880170176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张寰一</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王志强</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钻采设备（完井工具（桥塞、球座、滑套）、泥浆智能监测系统）的研发、生产及技术服务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highlight w:val="none"/>
              </w:rPr>
            </w:pPr>
            <w:r>
              <w:rPr>
                <w:rFonts w:hint="eastAsia" w:ascii="宋体" w:hAnsi="宋体"/>
                <w:color w:val="000000"/>
                <w:szCs w:val="21"/>
                <w:highlight w:val="none"/>
              </w:rPr>
              <w:t>生产/服务提供流程简图</w:t>
            </w:r>
          </w:p>
          <w:p>
            <w:pPr>
              <w:tabs>
                <w:tab w:val="left" w:pos="0"/>
              </w:tabs>
              <w:rPr>
                <w:rFonts w:ascii="宋体" w:hAnsi="宋体"/>
                <w:color w:val="000000"/>
                <w:szCs w:val="21"/>
                <w:highlight w:val="none"/>
              </w:rPr>
            </w:pPr>
          </w:p>
          <w:p>
            <w:pPr>
              <w:tabs>
                <w:tab w:val="left" w:pos="0"/>
              </w:tabs>
              <w:rPr>
                <w:rFonts w:ascii="宋体" w:hAnsi="宋体"/>
                <w:color w:val="000000"/>
                <w:szCs w:val="21"/>
                <w:highlight w:val="none"/>
              </w:rPr>
            </w:pPr>
          </w:p>
        </w:tc>
        <w:tc>
          <w:tcPr>
            <w:tcW w:w="8058" w:type="dxa"/>
            <w:gridSpan w:val="7"/>
            <w:shd w:val="clear" w:color="auto" w:fill="auto"/>
          </w:tcPr>
          <w:p>
            <w:pPr>
              <w:tabs>
                <w:tab w:val="left" w:pos="360"/>
              </w:tabs>
              <w:spacing w:line="240" w:lineRule="auto"/>
              <w:ind w:left="360" w:hanging="360"/>
              <w:rPr>
                <w:rFonts w:hint="eastAsia" w:ascii="宋体"/>
                <w:color w:val="000000"/>
                <w:szCs w:val="21"/>
                <w:highlight w:val="none"/>
              </w:rPr>
            </w:pPr>
            <w:r>
              <w:rPr>
                <w:rFonts w:hint="eastAsia" w:ascii="宋体"/>
                <w:color w:val="000000"/>
                <w:szCs w:val="21"/>
                <w:highlight w:val="none"/>
              </w:rPr>
              <w:t>1、桥塞、球座、滑套加工流程：下料——加工中心（车、钻、铣、磨）——线割（适用时）——检验——入库——组装</w:t>
            </w:r>
          </w:p>
          <w:p>
            <w:pPr>
              <w:tabs>
                <w:tab w:val="left" w:pos="360"/>
              </w:tabs>
              <w:spacing w:line="240" w:lineRule="auto"/>
              <w:ind w:left="360" w:hanging="360"/>
              <w:rPr>
                <w:rFonts w:hint="eastAsia" w:ascii="宋体"/>
                <w:color w:val="000000"/>
                <w:szCs w:val="21"/>
                <w:highlight w:val="none"/>
              </w:rPr>
            </w:pPr>
            <w:r>
              <w:rPr>
                <w:rFonts w:hint="eastAsia" w:ascii="宋体"/>
                <w:color w:val="000000"/>
                <w:szCs w:val="21"/>
                <w:highlight w:val="none"/>
              </w:rPr>
              <w:t>2、泥浆智能监测系统加工流程：下料——加工中心（车、钻、铣、磨）——线割（适用时）——检验——入库——组装</w:t>
            </w:r>
          </w:p>
          <w:p>
            <w:pPr>
              <w:tabs>
                <w:tab w:val="left" w:pos="360"/>
              </w:tabs>
              <w:spacing w:line="240" w:lineRule="auto"/>
              <w:ind w:left="360" w:hanging="360"/>
              <w:rPr>
                <w:rFonts w:hint="eastAsia" w:ascii="宋体"/>
                <w:color w:val="000000"/>
                <w:szCs w:val="21"/>
                <w:highlight w:val="none"/>
              </w:rPr>
            </w:pPr>
            <w:r>
              <w:rPr>
                <w:rFonts w:hint="eastAsia" w:ascii="宋体"/>
                <w:color w:val="000000"/>
                <w:szCs w:val="21"/>
                <w:highlight w:val="none"/>
              </w:rPr>
              <w:t>3、技术服务流程：获得客户需求信息——提供咨询服务——介绍产品——确定产品信息——签订协议——提供相关技术服务</w:t>
            </w:r>
          </w:p>
          <w:p>
            <w:pPr>
              <w:tabs>
                <w:tab w:val="left" w:pos="360"/>
              </w:tabs>
              <w:spacing w:line="240" w:lineRule="auto"/>
              <w:ind w:left="360" w:hanging="360"/>
              <w:rPr>
                <w:rFonts w:ascii="宋体"/>
                <w:color w:val="000000"/>
                <w:szCs w:val="21"/>
                <w:highlight w:val="none"/>
              </w:rPr>
            </w:pPr>
            <w:r>
              <w:rPr>
                <w:rFonts w:hint="eastAsia" w:ascii="宋体"/>
                <w:color w:val="000000"/>
                <w:szCs w:val="21"/>
                <w:highlight w:val="none"/>
              </w:rPr>
              <w:t>4、研发流程：调研客户需求--设计任务书——产品设计、测试（设计变更、优化）——设计评审——设计验证——设计确认——客户验收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钻采设备（完井工具（桥塞、球座、滑套）、泥浆智能监测系统）的研发、生产及技术服务</w:t>
            </w:r>
          </w:p>
        </w:tc>
        <w:tc>
          <w:tcPr>
            <w:tcW w:w="2006" w:type="dxa"/>
            <w:gridSpan w:val="3"/>
            <w:vAlign w:val="center"/>
          </w:tcPr>
          <w:p>
            <w:pPr>
              <w:spacing w:line="400" w:lineRule="exact"/>
              <w:rPr>
                <w:rFonts w:ascii="宋体" w:hAnsi="宋体"/>
                <w:b/>
                <w:color w:val="000000"/>
                <w:szCs w:val="21"/>
              </w:rPr>
            </w:pPr>
            <w:r>
              <w:t>18.05.02;19.05.01;34.06.00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钻采设备（完井工具（桥塞、球座、滑套）、泥浆智能监测系统）的研发、生产及技术服务所涉及场所的相关职业健康安全管理活动</w:t>
            </w:r>
          </w:p>
        </w:tc>
        <w:tc>
          <w:tcPr>
            <w:tcW w:w="2006" w:type="dxa"/>
            <w:gridSpan w:val="3"/>
            <w:vAlign w:val="center"/>
          </w:tcPr>
          <w:p>
            <w:pPr>
              <w:spacing w:line="400" w:lineRule="exact"/>
              <w:rPr>
                <w:rFonts w:ascii="宋体" w:hAnsi="宋体"/>
                <w:b/>
                <w:color w:val="000000"/>
                <w:szCs w:val="21"/>
              </w:rPr>
            </w:pPr>
            <w:r>
              <w:t>18.05.02;19.05.01;34.06.00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 w:val="18"/>
                <w:szCs w:val="18"/>
                <w:lang w:val="en-US" w:eastAsia="zh-CN"/>
              </w:rPr>
            </w:pPr>
            <w:r>
              <w:rPr>
                <w:sz w:val="18"/>
                <w:szCs w:val="18"/>
              </w:rPr>
              <w:t>兴泰宏科（成都）能源装备有限公司</w:t>
            </w:r>
            <w:r>
              <w:rPr>
                <w:rFonts w:hint="eastAsia"/>
                <w:sz w:val="18"/>
                <w:szCs w:val="18"/>
                <w:lang w:val="en-US" w:eastAsia="zh-CN"/>
              </w:rPr>
              <w:t>/</w:t>
            </w:r>
            <w:r>
              <w:rPr>
                <w:sz w:val="18"/>
                <w:szCs w:val="18"/>
              </w:rPr>
              <w:t>四川省成都经济技术开发区（龙泉驿区）车城东五路200号第二号厂房</w:t>
            </w:r>
          </w:p>
        </w:tc>
        <w:tc>
          <w:tcPr>
            <w:tcW w:w="2267" w:type="dxa"/>
          </w:tcPr>
          <w:p>
            <w:pPr>
              <w:spacing w:before="40" w:after="40"/>
              <w:rPr>
                <w:rFonts w:eastAsia="黑体"/>
                <w:szCs w:val="21"/>
                <w:lang w:val="de-DE" w:eastAsia="ja-JP"/>
              </w:rPr>
            </w:pPr>
            <w:r>
              <w:rPr>
                <w:sz w:val="18"/>
                <w:szCs w:val="18"/>
              </w:rPr>
              <w:t>四川省成都经济技术开发区（龙泉驿区）车城东五路200号第二号厂房</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35</w:t>
            </w:r>
          </w:p>
        </w:tc>
        <w:tc>
          <w:tcPr>
            <w:tcW w:w="2803" w:type="dxa"/>
            <w:vAlign w:val="center"/>
          </w:tcPr>
          <w:p>
            <w:pPr>
              <w:pStyle w:val="21"/>
              <w:rPr>
                <w:rFonts w:eastAsia="黑体" w:cs="Arial"/>
                <w:sz w:val="21"/>
                <w:szCs w:val="21"/>
                <w:lang w:val="en-US" w:eastAsia="ja-JP"/>
              </w:rPr>
            </w:pPr>
            <w:r>
              <w:rPr>
                <w:rFonts w:ascii="Times New Roman" w:hAnsi="Times New Roman" w:eastAsia="宋体" w:cs="Times New Roman"/>
                <w:kern w:val="2"/>
                <w:sz w:val="18"/>
                <w:szCs w:val="18"/>
                <w:lang w:val="en-US" w:eastAsia="zh-CN" w:bidi="ar-SA"/>
              </w:rPr>
              <w:t>钻采设备（完井工具（桥塞、球座、滑套）、泥浆智能监测系统）的研发、生产及技术服务</w:t>
            </w:r>
          </w:p>
        </w:tc>
        <w:tc>
          <w:tcPr>
            <w:tcW w:w="669" w:type="dxa"/>
            <w:vAlign w:val="center"/>
          </w:tcPr>
          <w:p>
            <w:pPr>
              <w:spacing w:before="40" w:after="40"/>
              <w:rPr>
                <w:rFonts w:eastAsia="黑体"/>
                <w:szCs w:val="21"/>
                <w:lang w:eastAsia="ja-JP"/>
              </w:rPr>
            </w:pPr>
            <w:r>
              <w:rPr>
                <w:rFonts w:hint="eastAsia" w:ascii="Times New Roman" w:hAnsi="Times New Roman" w:eastAsia="宋体" w:cs="Times New Roman"/>
                <w:kern w:val="2"/>
                <w:sz w:val="18"/>
                <w:szCs w:val="18"/>
                <w:lang w:val="en-US" w:eastAsia="zh-CN" w:bidi="ar-SA"/>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黑体" w:hAnsi="黑体" w:eastAsia="黑体" w:cs="黑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hint="eastAsia" w:ascii="Times New Roman" w:hAnsi="Times New Roman" w:eastAsia="宋体" w:cs="Times New Roman"/>
                <w:kern w:val="2"/>
                <w:sz w:val="18"/>
                <w:szCs w:val="18"/>
                <w:lang w:val="en-US" w:eastAsia="ja-JP" w:bidi="ar-SA"/>
              </w:rPr>
            </w:pPr>
            <w:r>
              <w:rPr>
                <w:sz w:val="18"/>
                <w:szCs w:val="18"/>
              </w:rPr>
              <w:t>兴泰宏科（成都）能源装备有限公司</w:t>
            </w:r>
            <w:r>
              <w:rPr>
                <w:rFonts w:hint="eastAsia"/>
                <w:sz w:val="18"/>
                <w:szCs w:val="18"/>
                <w:lang w:val="en-US" w:eastAsia="zh-CN"/>
              </w:rPr>
              <w:t>/</w:t>
            </w:r>
            <w:r>
              <w:rPr>
                <w:sz w:val="18"/>
                <w:szCs w:val="18"/>
              </w:rPr>
              <w:t>四川省成都经济技术开发区（龙泉驿区）车城东五路200号第二号厂房</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18"/>
                <w:szCs w:val="18"/>
              </w:rPr>
              <w:t>四川省成都经济技术开发区（龙泉驿区）车城东五路200号第二号厂房</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35</w:t>
            </w:r>
          </w:p>
        </w:tc>
        <w:tc>
          <w:tcPr>
            <w:tcW w:w="2803" w:type="dxa"/>
            <w:vAlign w:val="center"/>
          </w:tcPr>
          <w:p>
            <w:pPr>
              <w:spacing w:before="40" w:after="40"/>
              <w:rPr>
                <w:rFonts w:eastAsia="黑体"/>
                <w:szCs w:val="21"/>
                <w:lang w:eastAsia="ja-JP"/>
              </w:rPr>
            </w:pPr>
            <w:r>
              <w:rPr>
                <w:rFonts w:hint="eastAsia" w:ascii="Times New Roman" w:hAnsi="Times New Roman" w:eastAsia="宋体" w:cs="Times New Roman"/>
                <w:kern w:val="2"/>
                <w:sz w:val="18"/>
                <w:szCs w:val="18"/>
                <w:lang w:val="en-US" w:eastAsia="ja-JP" w:bidi="ar-SA"/>
              </w:rPr>
              <w:t>钻采设备（完井工具（桥塞、球座、滑套）、泥浆智能监测系统）的研发、生产及技术服务所涉及场所的相关职业健康安全管理活动</w:t>
            </w:r>
          </w:p>
        </w:tc>
        <w:tc>
          <w:tcPr>
            <w:tcW w:w="669" w:type="dxa"/>
            <w:vAlign w:val="center"/>
          </w:tcPr>
          <w:p>
            <w:pPr>
              <w:spacing w:before="40" w:after="40"/>
              <w:rPr>
                <w:rFonts w:eastAsia="黑体"/>
                <w:szCs w:val="21"/>
                <w:lang w:eastAsia="ja-JP"/>
              </w:rPr>
            </w:pPr>
            <w:r>
              <w:rPr>
                <w:rFonts w:hint="eastAsia" w:ascii="Times New Roman" w:hAnsi="Times New Roman" w:eastAsia="宋体" w:cs="Times New Roman"/>
                <w:kern w:val="2"/>
                <w:sz w:val="18"/>
                <w:szCs w:val="18"/>
                <w:lang w:val="en-US" w:eastAsia="zh-CN" w:bidi="ar-SA"/>
              </w:rPr>
              <w:t>GB/T 45001-2020</w:t>
            </w:r>
          </w:p>
        </w:tc>
        <w:sdt>
          <w:sdtPr>
            <w:rPr>
              <w:rFonts w:eastAsia="黑体"/>
              <w:szCs w:val="21"/>
            </w:rPr>
            <w:id w:val="1360237495"/>
          </w:sdtPr>
          <w:sdtEndPr>
            <w:rPr>
              <w:rFonts w:eastAsia="黑体"/>
              <w:szCs w:val="21"/>
            </w:rPr>
          </w:sdtEndPr>
          <w:sdtContent>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eastAsia="黑体"/>
                    <w:szCs w:val="21"/>
                  </w:rPr>
                </w:pP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于2021年08月30日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2021年11月30日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2021年12月10日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加工过程、研发过程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eastAsia="zh-CN"/>
              </w:rPr>
              <w:t>暂无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暂无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是否按法规要求检测和备案要且完好运行</w:t>
            </w:r>
          </w:p>
        </w:tc>
        <w:tc>
          <w:tcPr>
            <w:tcW w:w="1063"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□是</w:t>
            </w:r>
          </w:p>
        </w:tc>
        <w:tc>
          <w:tcPr>
            <w:tcW w:w="1637"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是否满足产品检测的需要</w:t>
            </w:r>
          </w:p>
        </w:tc>
        <w:tc>
          <w:tcPr>
            <w:tcW w:w="1063" w:type="dxa"/>
            <w:shd w:val="clear" w:color="auto" w:fill="DBEEF3" w:themeFill="accent5" w:themeFillTint="32"/>
          </w:tcPr>
          <w:p>
            <w:pPr>
              <w:rPr>
                <w:rFonts w:ascii="宋体"/>
                <w:color w:val="000000"/>
                <w:szCs w:val="21"/>
                <w:highlight w:val="none"/>
              </w:rPr>
            </w:pPr>
            <w:r>
              <w:rPr>
                <w:rFonts w:hint="eastAsia" w:ascii="宋体"/>
                <w:color w:val="000000"/>
                <w:szCs w:val="21"/>
                <w:highlight w:val="none"/>
                <w:lang w:eastAsia="zh-CN"/>
              </w:rPr>
              <w:t>☑</w:t>
            </w:r>
            <w:r>
              <w:rPr>
                <w:rFonts w:hint="eastAsia" w:ascii="宋体"/>
                <w:color w:val="000000"/>
                <w:szCs w:val="21"/>
                <w:highlight w:val="none"/>
              </w:rPr>
              <w:t>是</w:t>
            </w:r>
          </w:p>
        </w:tc>
        <w:tc>
          <w:tcPr>
            <w:tcW w:w="1637"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tbl>
      <w:tblPr>
        <w:tblStyle w:val="10"/>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themeColor="text1"/>
                <w:szCs w:val="21"/>
                <w:highlight w:val="none"/>
              </w:rPr>
            </w:pPr>
            <w:r>
              <w:rPr>
                <w:rFonts w:hint="eastAsia" w:ascii="宋体" w:hAnsi="宋体"/>
                <w:color w:val="000000" w:themeColor="text1"/>
                <w:szCs w:val="21"/>
                <w:highlight w:val="none"/>
              </w:rPr>
              <w:t>（7）对特种设备是否按法规要求检测和备案且完好运行</w:t>
            </w:r>
          </w:p>
        </w:tc>
        <w:tc>
          <w:tcPr>
            <w:tcW w:w="1003" w:type="dxa"/>
            <w:shd w:val="clear" w:color="auto" w:fill="FFFF00"/>
          </w:tcPr>
          <w:p>
            <w:pPr>
              <w:rPr>
                <w:rFonts w:ascii="宋体"/>
                <w:color w:val="000000" w:themeColor="text1"/>
                <w:spacing w:val="-10"/>
                <w:szCs w:val="21"/>
                <w:highlight w:val="none"/>
              </w:rPr>
            </w:pPr>
            <w:r>
              <w:rPr>
                <w:rFonts w:hint="eastAsia" w:ascii="宋体" w:hAnsi="宋体"/>
                <w:color w:val="000000" w:themeColor="text1"/>
                <w:spacing w:val="-10"/>
                <w:szCs w:val="21"/>
                <w:highlight w:val="none"/>
              </w:rPr>
              <w:t>□</w:t>
            </w:r>
            <w:r>
              <w:rPr>
                <w:rFonts w:hint="eastAsia" w:ascii="宋体" w:hAnsi="宋体"/>
                <w:color w:val="000000" w:themeColor="text1"/>
                <w:szCs w:val="21"/>
                <w:highlight w:val="none"/>
              </w:rPr>
              <w:t>是</w:t>
            </w:r>
          </w:p>
        </w:tc>
        <w:tc>
          <w:tcPr>
            <w:tcW w:w="1790" w:type="dxa"/>
            <w:shd w:val="clear" w:color="auto" w:fill="FFFF00"/>
          </w:tcPr>
          <w:p>
            <w:pPr>
              <w:rPr>
                <w:rFonts w:ascii="宋体"/>
                <w:color w:val="000000" w:themeColor="text1"/>
                <w:spacing w:val="-10"/>
                <w:szCs w:val="21"/>
                <w:highlight w:val="none"/>
              </w:rPr>
            </w:pPr>
            <w:r>
              <w:rPr>
                <w:rFonts w:hint="eastAsia" w:ascii="宋体" w:hAnsi="宋体"/>
                <w:color w:val="000000" w:themeColor="text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highlight w:val="none"/>
              </w:rPr>
            </w:pPr>
            <w:r>
              <w:rPr>
                <w:rFonts w:hint="eastAsia" w:ascii="宋体" w:hAnsi="宋体"/>
                <w:color w:val="000000"/>
                <w:szCs w:val="21"/>
                <w:highlight w:val="none"/>
              </w:rPr>
              <w:t>受审核方职业健康安全管理体系认证范围内的合规性证据</w:t>
            </w:r>
          </w:p>
        </w:tc>
        <w:tc>
          <w:tcPr>
            <w:tcW w:w="5626" w:type="dxa"/>
            <w:shd w:val="clear" w:color="auto" w:fill="FFFF00"/>
          </w:tcPr>
          <w:p>
            <w:pPr>
              <w:rPr>
                <w:rFonts w:ascii="宋体"/>
                <w:color w:val="000000"/>
                <w:szCs w:val="21"/>
                <w:highlight w:val="none"/>
              </w:rPr>
            </w:pPr>
            <w:r>
              <w:rPr>
                <w:rFonts w:hint="eastAsia" w:ascii="宋体"/>
                <w:color w:val="000000"/>
                <w:szCs w:val="21"/>
                <w:highlight w:val="none"/>
              </w:rPr>
              <w:t>是否有安全预评价/现状评价报告</w:t>
            </w:r>
          </w:p>
        </w:tc>
        <w:tc>
          <w:tcPr>
            <w:tcW w:w="2793" w:type="dxa"/>
            <w:gridSpan w:val="2"/>
            <w:shd w:val="clear" w:color="auto" w:fill="FFFF0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r>
              <w:rPr>
                <w:rFonts w:hint="eastAsia" w:ascii="宋体" w:hAnsi="宋体"/>
                <w:color w:val="000000"/>
                <w:spacing w:val="-10"/>
                <w:szCs w:val="21"/>
                <w:highlight w:val="none"/>
              </w:rPr>
              <w:t>□</w:t>
            </w:r>
            <w:r>
              <w:rPr>
                <w:rFonts w:hint="eastAsia" w:ascii="宋体" w:hAnsi="宋体"/>
                <w:color w:val="000000"/>
                <w:szCs w:val="21"/>
                <w:highlight w:val="none"/>
              </w:rPr>
              <w:t>否</w:t>
            </w: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highlight w:val="none"/>
              </w:rPr>
            </w:pPr>
          </w:p>
        </w:tc>
        <w:tc>
          <w:tcPr>
            <w:tcW w:w="5626" w:type="dxa"/>
            <w:shd w:val="clear" w:color="auto" w:fill="FFFF00"/>
          </w:tcPr>
          <w:p>
            <w:pPr>
              <w:rPr>
                <w:rFonts w:ascii="宋体"/>
                <w:color w:val="000000"/>
                <w:szCs w:val="21"/>
                <w:highlight w:val="none"/>
              </w:rPr>
            </w:pPr>
            <w:r>
              <w:rPr>
                <w:rFonts w:hint="eastAsia" w:ascii="宋体"/>
                <w:color w:val="000000"/>
                <w:szCs w:val="21"/>
                <w:highlight w:val="none"/>
              </w:rPr>
              <w:t>是否有职业健康预评估/现状评价报告</w:t>
            </w:r>
          </w:p>
        </w:tc>
        <w:tc>
          <w:tcPr>
            <w:tcW w:w="2793" w:type="dxa"/>
            <w:gridSpan w:val="2"/>
            <w:shd w:val="clear" w:color="auto" w:fill="FFFF0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r>
              <w:rPr>
                <w:rFonts w:hint="eastAsia" w:ascii="宋体" w:hAnsi="宋体"/>
                <w:color w:val="000000"/>
                <w:spacing w:val="-10"/>
                <w:szCs w:val="21"/>
                <w:highlight w:val="none"/>
              </w:rPr>
              <w:t>□</w:t>
            </w:r>
            <w:r>
              <w:rPr>
                <w:rFonts w:hint="eastAsia" w:ascii="宋体" w:hAnsi="宋体"/>
                <w:color w:val="000000"/>
                <w:szCs w:val="21"/>
                <w:highlight w:val="none"/>
              </w:rPr>
              <w:t>否</w:t>
            </w: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highlight w:val="none"/>
              </w:rPr>
            </w:pPr>
          </w:p>
        </w:tc>
        <w:tc>
          <w:tcPr>
            <w:tcW w:w="5626" w:type="dxa"/>
            <w:shd w:val="clear" w:color="auto" w:fill="FFFF00"/>
          </w:tcPr>
          <w:p>
            <w:pPr>
              <w:rPr>
                <w:rFonts w:ascii="宋体"/>
                <w:color w:val="000000"/>
                <w:szCs w:val="21"/>
                <w:highlight w:val="none"/>
              </w:rPr>
            </w:pPr>
            <w:r>
              <w:rPr>
                <w:rFonts w:hint="eastAsia" w:ascii="宋体"/>
                <w:color w:val="000000"/>
                <w:szCs w:val="21"/>
                <w:highlight w:val="none"/>
              </w:rPr>
              <w:t>是否有消防验收报告/备案登记</w:t>
            </w:r>
          </w:p>
        </w:tc>
        <w:tc>
          <w:tcPr>
            <w:tcW w:w="2793" w:type="dxa"/>
            <w:gridSpan w:val="2"/>
            <w:shd w:val="clear" w:color="auto" w:fill="FFFF0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r>
              <w:rPr>
                <w:rFonts w:hint="eastAsia" w:ascii="宋体" w:hAnsi="宋体"/>
                <w:color w:val="000000"/>
                <w:spacing w:val="-10"/>
                <w:szCs w:val="21"/>
                <w:highlight w:val="none"/>
              </w:rPr>
              <w:t>□</w:t>
            </w:r>
            <w:r>
              <w:rPr>
                <w:rFonts w:hint="eastAsia" w:ascii="宋体" w:hAnsi="宋体"/>
                <w:color w:val="000000"/>
                <w:szCs w:val="21"/>
                <w:highlight w:val="none"/>
              </w:rPr>
              <w:t>否</w:t>
            </w: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highlight w:val="none"/>
              </w:rPr>
            </w:pPr>
          </w:p>
        </w:tc>
        <w:tc>
          <w:tcPr>
            <w:tcW w:w="5626" w:type="dxa"/>
            <w:shd w:val="clear" w:color="auto" w:fill="FFFF00"/>
          </w:tcPr>
          <w:p>
            <w:pPr>
              <w:rPr>
                <w:rFonts w:ascii="宋体"/>
                <w:color w:val="000000"/>
                <w:szCs w:val="21"/>
                <w:highlight w:val="none"/>
              </w:rPr>
            </w:pPr>
            <w:r>
              <w:rPr>
                <w:rFonts w:hint="eastAsia" w:ascii="宋体"/>
                <w:color w:val="000000"/>
                <w:szCs w:val="21"/>
                <w:highlight w:val="none"/>
              </w:rPr>
              <w:t>是否提供近一年的作业场所有害物质监测报告</w:t>
            </w:r>
          </w:p>
        </w:tc>
        <w:tc>
          <w:tcPr>
            <w:tcW w:w="2793" w:type="dxa"/>
            <w:gridSpan w:val="2"/>
            <w:shd w:val="clear" w:color="auto" w:fill="FFFF0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r>
              <w:rPr>
                <w:rFonts w:hint="eastAsia" w:ascii="宋体" w:hAnsi="宋体"/>
                <w:color w:val="000000"/>
                <w:spacing w:val="-10"/>
                <w:szCs w:val="21"/>
                <w:highlight w:val="none"/>
              </w:rPr>
              <w:t>□</w:t>
            </w:r>
            <w:r>
              <w:rPr>
                <w:rFonts w:hint="eastAsia" w:ascii="宋体" w:hAnsi="宋体"/>
                <w:color w:val="000000"/>
                <w:szCs w:val="21"/>
                <w:highlight w:val="none"/>
              </w:rPr>
              <w:t>否</w:t>
            </w: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highlight w:val="none"/>
              </w:rPr>
            </w:pPr>
          </w:p>
        </w:tc>
        <w:tc>
          <w:tcPr>
            <w:tcW w:w="5626" w:type="dxa"/>
            <w:shd w:val="clear" w:color="auto" w:fill="FFFF00"/>
          </w:tcPr>
          <w:p>
            <w:pPr>
              <w:rPr>
                <w:rFonts w:ascii="宋体"/>
                <w:color w:val="000000"/>
                <w:szCs w:val="21"/>
                <w:highlight w:val="none"/>
              </w:rPr>
            </w:pPr>
            <w:r>
              <w:rPr>
                <w:rFonts w:hint="eastAsia" w:ascii="宋体"/>
                <w:color w:val="000000"/>
                <w:szCs w:val="21"/>
                <w:highlight w:val="none"/>
              </w:rPr>
              <w:t>是否提供近一年的职业健康体检报告</w:t>
            </w:r>
          </w:p>
        </w:tc>
        <w:tc>
          <w:tcPr>
            <w:tcW w:w="2793" w:type="dxa"/>
            <w:gridSpan w:val="2"/>
            <w:shd w:val="clear" w:color="auto" w:fill="FFFF00"/>
          </w:tcPr>
          <w:p>
            <w:pPr>
              <w:rPr>
                <w:rFonts w:ascii="宋体"/>
                <w:color w:val="000000"/>
                <w:szCs w:val="21"/>
                <w:highlight w:val="none"/>
              </w:rPr>
            </w:pPr>
            <w:bookmarkStart w:id="36" w:name="_GoBack"/>
            <w:bookmarkEnd w:id="36"/>
            <w:r>
              <w:rPr>
                <w:rFonts w:hint="eastAsia" w:ascii="宋体" w:hAnsi="宋体"/>
                <w:color w:val="000000"/>
                <w:spacing w:val="-10"/>
                <w:szCs w:val="21"/>
                <w:highlight w:val="none"/>
                <w:lang w:eastAsia="zh-CN"/>
              </w:rPr>
              <w:t>☑</w:t>
            </w:r>
            <w:r>
              <w:rPr>
                <w:rFonts w:hint="eastAsia" w:ascii="宋体" w:hAnsi="宋体"/>
                <w:color w:val="000000"/>
                <w:szCs w:val="21"/>
                <w:highlight w:val="none"/>
              </w:rPr>
              <w:t>是</w:t>
            </w:r>
            <w:r>
              <w:rPr>
                <w:rFonts w:hint="eastAsia" w:ascii="宋体" w:hAnsi="宋体"/>
                <w:color w:val="000000"/>
                <w:spacing w:val="-10"/>
                <w:szCs w:val="21"/>
                <w:highlight w:val="none"/>
              </w:rPr>
              <w:t>□</w:t>
            </w:r>
            <w:r>
              <w:rPr>
                <w:rFonts w:hint="eastAsia" w:ascii="宋体" w:hAnsi="宋体"/>
                <w:color w:val="000000"/>
                <w:szCs w:val="21"/>
                <w:highlight w:val="none"/>
              </w:rPr>
              <w:t>否</w:t>
            </w: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w:t>
            </w:r>
            <w:r>
              <w:rPr>
                <w:rFonts w:hint="eastAsia" w:ascii="宋体"/>
                <w:color w:val="000000"/>
                <w:spacing w:val="-10"/>
                <w:szCs w:val="21"/>
                <w:lang w:eastAsia="zh-CN"/>
              </w:rPr>
              <w:t>☑</w:t>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2022-03-28</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369"/>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369" w:type="dxa"/>
            <w:vAlign w:val="center"/>
          </w:tcPr>
          <w:p>
            <w:pPr>
              <w:spacing w:line="400" w:lineRule="exact"/>
              <w:rPr>
                <w:rFonts w:ascii="宋体" w:hAnsi="宋体"/>
                <w:b/>
                <w:color w:val="000000"/>
                <w:szCs w:val="21"/>
              </w:rPr>
            </w:pPr>
          </w:p>
        </w:tc>
        <w:tc>
          <w:tcPr>
            <w:tcW w:w="2013"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369" w:type="dxa"/>
            <w:vAlign w:val="center"/>
          </w:tcPr>
          <w:p>
            <w:pPr>
              <w:spacing w:line="240" w:lineRule="auto"/>
              <w:rPr>
                <w:rFonts w:ascii="宋体" w:hAnsi="宋体"/>
                <w:b w:val="0"/>
                <w:bCs/>
                <w:color w:val="000000"/>
                <w:szCs w:val="21"/>
              </w:rPr>
            </w:pPr>
            <w:r>
              <w:rPr>
                <w:rFonts w:hint="eastAsia" w:ascii="宋体" w:hAnsi="宋体"/>
                <w:b w:val="0"/>
                <w:bCs/>
                <w:color w:val="000000"/>
                <w:szCs w:val="21"/>
              </w:rPr>
              <w:t>钻采设备（完井工具（桥塞、球座、滑套）、泥浆智能监测系统）的研发、生产及技术服务</w:t>
            </w:r>
          </w:p>
        </w:tc>
        <w:tc>
          <w:tcPr>
            <w:tcW w:w="2013" w:type="dxa"/>
            <w:vAlign w:val="center"/>
          </w:tcPr>
          <w:p>
            <w:pPr>
              <w:spacing w:line="240" w:lineRule="auto"/>
              <w:rPr>
                <w:rFonts w:ascii="宋体" w:hAnsi="宋体"/>
                <w:b w:val="0"/>
                <w:bCs/>
                <w:color w:val="000000"/>
                <w:szCs w:val="21"/>
              </w:rPr>
            </w:pPr>
            <w:r>
              <w:rPr>
                <w:rFonts w:hint="eastAsia" w:ascii="宋体" w:hAnsi="宋体"/>
                <w:b w:val="0"/>
                <w:bCs/>
                <w:color w:val="000000"/>
                <w:szCs w:val="21"/>
              </w:rPr>
              <w:t>18.05.02;19.05.01;34.06.00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369" w:type="dxa"/>
            <w:vAlign w:val="center"/>
          </w:tcPr>
          <w:p>
            <w:pPr>
              <w:spacing w:line="400" w:lineRule="exact"/>
              <w:rPr>
                <w:rFonts w:ascii="宋体" w:hAnsi="宋体"/>
                <w:b/>
                <w:color w:val="000000"/>
                <w:szCs w:val="21"/>
              </w:rPr>
            </w:pPr>
          </w:p>
        </w:tc>
        <w:tc>
          <w:tcPr>
            <w:tcW w:w="201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369" w:type="dxa"/>
            <w:vAlign w:val="center"/>
          </w:tcPr>
          <w:p>
            <w:pPr>
              <w:spacing w:line="400" w:lineRule="exact"/>
              <w:rPr>
                <w:rFonts w:ascii="宋体" w:hAnsi="宋体"/>
                <w:b/>
                <w:color w:val="000000"/>
                <w:szCs w:val="21"/>
              </w:rPr>
            </w:pPr>
          </w:p>
        </w:tc>
        <w:tc>
          <w:tcPr>
            <w:tcW w:w="201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369" w:type="dxa"/>
            <w:vAlign w:val="center"/>
          </w:tcPr>
          <w:p>
            <w:pPr>
              <w:spacing w:line="400" w:lineRule="exact"/>
              <w:rPr>
                <w:rFonts w:ascii="宋体" w:hAnsi="宋体"/>
                <w:b/>
                <w:color w:val="000000"/>
                <w:szCs w:val="21"/>
              </w:rPr>
            </w:pPr>
            <w:r>
              <w:rPr>
                <w:rFonts w:hint="eastAsia" w:ascii="宋体" w:hAnsi="宋体" w:cs="Times New Roman"/>
                <w:b w:val="0"/>
                <w:bCs/>
                <w:color w:val="000000"/>
                <w:szCs w:val="21"/>
              </w:rPr>
              <w:t>钻采设备（完井工具（桥塞、球座、滑套）、泥浆智能监测系统）的研发、生产及技术服务所涉及场所的相关职业健康安全管理活动</w:t>
            </w:r>
          </w:p>
        </w:tc>
        <w:tc>
          <w:tcPr>
            <w:tcW w:w="2013" w:type="dxa"/>
            <w:vAlign w:val="center"/>
          </w:tcPr>
          <w:p>
            <w:pPr>
              <w:spacing w:line="400" w:lineRule="exact"/>
              <w:rPr>
                <w:rFonts w:ascii="宋体" w:hAnsi="宋体"/>
                <w:b/>
                <w:color w:val="000000"/>
                <w:szCs w:val="21"/>
              </w:rPr>
            </w:pPr>
            <w:r>
              <w:rPr>
                <w:rFonts w:hint="eastAsia" w:ascii="宋体" w:hAnsi="宋体"/>
                <w:b w:val="0"/>
                <w:bCs/>
                <w:color w:val="000000"/>
                <w:szCs w:val="21"/>
              </w:rPr>
              <w:t>18.05.02;19.05.01;34.06.00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369" w:type="dxa"/>
            <w:vAlign w:val="center"/>
          </w:tcPr>
          <w:p>
            <w:pPr>
              <w:spacing w:line="400" w:lineRule="exact"/>
              <w:rPr>
                <w:rFonts w:ascii="宋体" w:hAnsi="宋体"/>
                <w:b/>
                <w:color w:val="000000"/>
                <w:szCs w:val="21"/>
              </w:rPr>
            </w:pPr>
          </w:p>
        </w:tc>
        <w:tc>
          <w:tcPr>
            <w:tcW w:w="201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369" w:type="dxa"/>
            <w:vAlign w:val="center"/>
          </w:tcPr>
          <w:p>
            <w:pPr>
              <w:spacing w:line="400" w:lineRule="exact"/>
              <w:rPr>
                <w:rFonts w:ascii="宋体" w:hAnsi="宋体"/>
                <w:b/>
                <w:color w:val="000000"/>
                <w:szCs w:val="21"/>
              </w:rPr>
            </w:pPr>
          </w:p>
        </w:tc>
        <w:tc>
          <w:tcPr>
            <w:tcW w:w="201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369" w:type="dxa"/>
            <w:vAlign w:val="center"/>
          </w:tcPr>
          <w:p>
            <w:pPr>
              <w:spacing w:line="400" w:lineRule="exact"/>
              <w:rPr>
                <w:rFonts w:ascii="宋体" w:hAnsi="宋体"/>
                <w:b/>
                <w:color w:val="000000"/>
                <w:szCs w:val="21"/>
              </w:rPr>
            </w:pPr>
          </w:p>
        </w:tc>
        <w:tc>
          <w:tcPr>
            <w:tcW w:w="2013"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 w:val="22"/>
          <w:szCs w:val="22"/>
        </w:rPr>
        <w:drawing>
          <wp:anchor distT="0" distB="0" distL="114300" distR="114300" simplePos="0" relativeHeight="251663360" behindDoc="0" locked="0" layoutInCell="1" allowOverlap="1">
            <wp:simplePos x="0" y="0"/>
            <wp:positionH relativeFrom="column">
              <wp:posOffset>4662805</wp:posOffset>
            </wp:positionH>
            <wp:positionV relativeFrom="paragraph">
              <wp:posOffset>340995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1827530</wp:posOffset>
            </wp:positionH>
            <wp:positionV relativeFrom="paragraph">
              <wp:posOffset>344805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ascii="宋体" w:hAnsi="宋体"/>
          <w:b/>
          <w:bCs/>
          <w:color w:val="000000"/>
          <w:szCs w:val="21"/>
        </w:rPr>
        <w:t>十一、审核组签字</w:t>
      </w:r>
    </w:p>
    <w:p>
      <w:pPr>
        <w:spacing w:line="400" w:lineRule="exact"/>
        <w:ind w:firstLine="880" w:firstLineChars="400"/>
        <w:rPr>
          <w:rFonts w:ascii="宋体"/>
          <w:b/>
          <w:color w:val="000000"/>
          <w:szCs w:val="21"/>
        </w:rPr>
      </w:pPr>
      <w:r>
        <w:rPr>
          <w:sz w:val="22"/>
          <w:szCs w:val="22"/>
        </w:rPr>
        <w:drawing>
          <wp:anchor distT="0" distB="0" distL="114300" distR="114300" simplePos="0" relativeHeight="251667456" behindDoc="0" locked="0" layoutInCell="1" allowOverlap="1">
            <wp:simplePos x="0" y="0"/>
            <wp:positionH relativeFrom="column">
              <wp:posOffset>4064000</wp:posOffset>
            </wp:positionH>
            <wp:positionV relativeFrom="paragraph">
              <wp:posOffset>31115</wp:posOffset>
            </wp:positionV>
            <wp:extent cx="516890" cy="233045"/>
            <wp:effectExtent l="0" t="0" r="16510" b="14605"/>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8" cstate="print"/>
                    <a:srcRect/>
                    <a:stretch>
                      <a:fillRect/>
                    </a:stretch>
                  </pic:blipFill>
                  <pic:spPr>
                    <a:xfrm>
                      <a:off x="0" y="0"/>
                      <a:ext cx="516890" cy="233045"/>
                    </a:xfrm>
                    <a:prstGeom prst="rect">
                      <a:avLst/>
                    </a:prstGeom>
                    <a:noFill/>
                    <a:ln w="9525">
                      <a:noFill/>
                      <a:miter lim="800000"/>
                      <a:headEnd/>
                      <a:tailEnd/>
                    </a:ln>
                  </pic:spPr>
                </pic:pic>
              </a:graphicData>
            </a:graphic>
          </wp:anchor>
        </w:drawing>
      </w:r>
      <w:r>
        <w:drawing>
          <wp:anchor distT="0" distB="0" distL="114300" distR="114300" simplePos="0" relativeHeight="251664384" behindDoc="0" locked="0" layoutInCell="1" allowOverlap="1">
            <wp:simplePos x="0" y="0"/>
            <wp:positionH relativeFrom="column">
              <wp:posOffset>5252085</wp:posOffset>
            </wp:positionH>
            <wp:positionV relativeFrom="paragraph">
              <wp:posOffset>4445</wp:posOffset>
            </wp:positionV>
            <wp:extent cx="590550" cy="269875"/>
            <wp:effectExtent l="0" t="0" r="0" b="15875"/>
            <wp:wrapNone/>
            <wp:docPr id="2"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24309\AppData\Local\Temp\WeChat Files\5312dc77a33e48f7e27afd135593673.png"/>
                    <pic:cNvPicPr>
                      <a:picLocks noChangeAspect="1" noChangeArrowheads="1"/>
                    </pic:cNvPicPr>
                  </pic:nvPicPr>
                  <pic:blipFill>
                    <a:blip r:embed="rId9" cstate="print"/>
                    <a:srcRect/>
                    <a:stretch>
                      <a:fillRect/>
                    </a:stretch>
                  </pic:blipFill>
                  <pic:spPr>
                    <a:xfrm>
                      <a:off x="0" y="0"/>
                      <a:ext cx="590550" cy="269875"/>
                    </a:xfrm>
                    <a:prstGeom prst="rect">
                      <a:avLst/>
                    </a:prstGeom>
                    <a:noFill/>
                    <a:ln w="9525">
                      <a:noFill/>
                      <a:miter lim="800000"/>
                      <a:headEnd/>
                      <a:tailEnd/>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highlight w:val="none"/>
        </w:rPr>
        <w:t>审核组组员</w:t>
      </w:r>
      <w:r>
        <w:rPr>
          <w:rFonts w:ascii="宋体" w:hAnsi="宋体"/>
          <w:b/>
          <w:color w:val="000000"/>
          <w:szCs w:val="21"/>
          <w:highlight w:val="none"/>
        </w:rPr>
        <w:t>(</w:t>
      </w:r>
      <w:r>
        <w:rPr>
          <w:rFonts w:hint="eastAsia" w:ascii="宋体" w:hAnsi="宋体"/>
          <w:b/>
          <w:color w:val="000000"/>
          <w:szCs w:val="21"/>
          <w:highlight w:val="none"/>
        </w:rPr>
        <w:t>签名</w:t>
      </w:r>
      <w:r>
        <w:rPr>
          <w:rFonts w:ascii="宋体" w:hAnsi="宋体"/>
          <w:b/>
          <w:color w:val="000000"/>
          <w:szCs w:val="21"/>
          <w:highlight w:val="none"/>
        </w:rPr>
        <w:t xml:space="preserve">): </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2022.3.28</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无</w:t>
            </w: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665408" behindDoc="0" locked="0" layoutInCell="1" allowOverlap="1">
                  <wp:simplePos x="0" y="0"/>
                  <wp:positionH relativeFrom="column">
                    <wp:posOffset>787400</wp:posOffset>
                  </wp:positionH>
                  <wp:positionV relativeFrom="paragraph">
                    <wp:posOffset>0</wp:posOffset>
                  </wp:positionV>
                  <wp:extent cx="371475" cy="341630"/>
                  <wp:effectExtent l="0" t="0" r="9525" b="127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28</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drawing>
                <wp:anchor distT="0" distB="0" distL="114300" distR="114300" simplePos="0" relativeHeight="251666432" behindDoc="0" locked="0" layoutInCell="1" allowOverlap="1">
                  <wp:simplePos x="0" y="0"/>
                  <wp:positionH relativeFrom="column">
                    <wp:posOffset>582295</wp:posOffset>
                  </wp:positionH>
                  <wp:positionV relativeFrom="paragraph">
                    <wp:posOffset>36195</wp:posOffset>
                  </wp:positionV>
                  <wp:extent cx="371475" cy="341630"/>
                  <wp:effectExtent l="0" t="0" r="9525" b="1270"/>
                  <wp:wrapNone/>
                  <wp:docPr id="5"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071135"/>
    <w:rsid w:val="010B654A"/>
    <w:rsid w:val="01B56C27"/>
    <w:rsid w:val="02C32043"/>
    <w:rsid w:val="033318F7"/>
    <w:rsid w:val="04E77F67"/>
    <w:rsid w:val="0539495C"/>
    <w:rsid w:val="0712371A"/>
    <w:rsid w:val="0D9B325A"/>
    <w:rsid w:val="0DB92613"/>
    <w:rsid w:val="115D0906"/>
    <w:rsid w:val="11C75BCB"/>
    <w:rsid w:val="1300779B"/>
    <w:rsid w:val="159F5EE8"/>
    <w:rsid w:val="17254C35"/>
    <w:rsid w:val="178D712D"/>
    <w:rsid w:val="180D2B4D"/>
    <w:rsid w:val="1EA26A2B"/>
    <w:rsid w:val="1F086D63"/>
    <w:rsid w:val="1FB64FEF"/>
    <w:rsid w:val="1FD14136"/>
    <w:rsid w:val="219B54D5"/>
    <w:rsid w:val="22D12F02"/>
    <w:rsid w:val="23946675"/>
    <w:rsid w:val="23A351B6"/>
    <w:rsid w:val="23B02B18"/>
    <w:rsid w:val="27272151"/>
    <w:rsid w:val="27E26EB4"/>
    <w:rsid w:val="2C836BD0"/>
    <w:rsid w:val="2C8578CE"/>
    <w:rsid w:val="2CFB18D4"/>
    <w:rsid w:val="2E933AE3"/>
    <w:rsid w:val="2E99698C"/>
    <w:rsid w:val="2F735481"/>
    <w:rsid w:val="30D7574D"/>
    <w:rsid w:val="31406347"/>
    <w:rsid w:val="35BE45DF"/>
    <w:rsid w:val="36B5678E"/>
    <w:rsid w:val="38696D59"/>
    <w:rsid w:val="3D670293"/>
    <w:rsid w:val="3DE2616C"/>
    <w:rsid w:val="3E686071"/>
    <w:rsid w:val="3FDA3061"/>
    <w:rsid w:val="40204AB1"/>
    <w:rsid w:val="403E28DD"/>
    <w:rsid w:val="404E6404"/>
    <w:rsid w:val="41061E63"/>
    <w:rsid w:val="429B2A93"/>
    <w:rsid w:val="44046CFA"/>
    <w:rsid w:val="46247641"/>
    <w:rsid w:val="46480997"/>
    <w:rsid w:val="46911EDD"/>
    <w:rsid w:val="475C24EB"/>
    <w:rsid w:val="47AA0E1C"/>
    <w:rsid w:val="481217C1"/>
    <w:rsid w:val="490B5F77"/>
    <w:rsid w:val="498A0EE5"/>
    <w:rsid w:val="4C2C67E0"/>
    <w:rsid w:val="4CE7786F"/>
    <w:rsid w:val="4D106856"/>
    <w:rsid w:val="4EED611E"/>
    <w:rsid w:val="4F7F5F26"/>
    <w:rsid w:val="50317489"/>
    <w:rsid w:val="57554DCE"/>
    <w:rsid w:val="584751BD"/>
    <w:rsid w:val="586C3723"/>
    <w:rsid w:val="59A93A45"/>
    <w:rsid w:val="5AA45748"/>
    <w:rsid w:val="5C2055D8"/>
    <w:rsid w:val="5F9C6519"/>
    <w:rsid w:val="607C0C87"/>
    <w:rsid w:val="6155662A"/>
    <w:rsid w:val="63F21DB5"/>
    <w:rsid w:val="6506448B"/>
    <w:rsid w:val="669E2922"/>
    <w:rsid w:val="66E005EB"/>
    <w:rsid w:val="67C16637"/>
    <w:rsid w:val="67F72090"/>
    <w:rsid w:val="68437A3F"/>
    <w:rsid w:val="6A5966E8"/>
    <w:rsid w:val="6A7C3CD8"/>
    <w:rsid w:val="6B19056F"/>
    <w:rsid w:val="6C09788E"/>
    <w:rsid w:val="6CD010B4"/>
    <w:rsid w:val="6D62663C"/>
    <w:rsid w:val="6FA06B69"/>
    <w:rsid w:val="73C818B5"/>
    <w:rsid w:val="75690E14"/>
    <w:rsid w:val="774C0306"/>
    <w:rsid w:val="792A69B0"/>
    <w:rsid w:val="7C0004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5236</Words>
  <Characters>6106</Characters>
  <Lines>67</Lines>
  <Paragraphs>18</Paragraphs>
  <TotalTime>1</TotalTime>
  <ScaleCrop>false</ScaleCrop>
  <LinksUpToDate>false</LinksUpToDate>
  <CharactersWithSpaces>6195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2022-03-30T07:14:38Z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