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Times New Roman" w:hAnsi="Times New Roman" w:eastAsia="宋体" w:cs="宋体"/>
                <w:color w:val="auto"/>
              </w:rPr>
            </w:pPr>
            <w:r>
              <w:rPr>
                <w:rFonts w:hint="eastAsia" w:ascii="Times New Roman" w:hAnsi="Times New Roman" w:eastAsia="宋体" w:cs="宋体"/>
                <w:color w:val="auto"/>
              </w:rPr>
              <w:t>过程与活动、</w:t>
            </w:r>
          </w:p>
          <w:p>
            <w:pPr>
              <w:rPr>
                <w:rFonts w:hint="eastAsia" w:ascii="Times New Roman" w:hAnsi="Times New Roman" w:eastAsia="宋体" w:cs="宋体"/>
                <w:color w:val="auto"/>
              </w:rPr>
            </w:pPr>
            <w:r>
              <w:rPr>
                <w:rFonts w:hint="eastAsia" w:ascii="Times New Roman" w:hAnsi="Times New Roman" w:eastAsia="宋体" w:cs="宋体"/>
                <w:color w:val="auto"/>
              </w:rPr>
              <w:t>抽样计划</w:t>
            </w:r>
          </w:p>
        </w:tc>
        <w:tc>
          <w:tcPr>
            <w:tcW w:w="960" w:type="dxa"/>
            <w:vMerge w:val="restart"/>
            <w:vAlign w:val="center"/>
          </w:tcPr>
          <w:p>
            <w:pPr>
              <w:rPr>
                <w:rFonts w:hint="eastAsia" w:ascii="Times New Roman" w:hAnsi="Times New Roman" w:eastAsia="宋体" w:cs="宋体"/>
                <w:color w:val="auto"/>
              </w:rPr>
            </w:pPr>
            <w:r>
              <w:rPr>
                <w:rFonts w:hint="eastAsia" w:ascii="Times New Roman" w:hAnsi="Times New Roman" w:eastAsia="宋体" w:cs="宋体"/>
                <w:color w:val="auto"/>
              </w:rPr>
              <w:t>涉及</w:t>
            </w:r>
          </w:p>
          <w:p>
            <w:pPr>
              <w:rPr>
                <w:rFonts w:hint="eastAsia" w:ascii="Times New Roman" w:hAnsi="Times New Roman" w:eastAsia="宋体" w:cs="宋体"/>
                <w:color w:val="auto"/>
              </w:rPr>
            </w:pPr>
            <w:r>
              <w:rPr>
                <w:rFonts w:hint="eastAsia" w:ascii="Times New Roman" w:hAnsi="Times New Roman" w:eastAsia="宋体" w:cs="宋体"/>
                <w:color w:val="auto"/>
              </w:rPr>
              <w:t>条款</w:t>
            </w:r>
          </w:p>
        </w:tc>
        <w:tc>
          <w:tcPr>
            <w:tcW w:w="10004" w:type="dxa"/>
            <w:vAlign w:val="center"/>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rPr>
              <w:t>受审核部门：</w:t>
            </w:r>
            <w:r>
              <w:rPr>
                <w:rFonts w:hint="eastAsia" w:ascii="Times New Roman" w:hAnsi="Times New Roman" w:eastAsia="宋体" w:cs="宋体"/>
                <w:color w:val="auto"/>
                <w:lang w:val="en-US" w:eastAsia="zh-CN"/>
              </w:rPr>
              <w:t xml:space="preserve">管理层     </w:t>
            </w:r>
            <w:r>
              <w:rPr>
                <w:rFonts w:hint="eastAsia" w:ascii="Times New Roman" w:hAnsi="Times New Roman" w:eastAsia="宋体" w:cs="宋体"/>
                <w:color w:val="auto"/>
              </w:rPr>
              <w:t>主管领导</w:t>
            </w:r>
            <w:r>
              <w:rPr>
                <w:rFonts w:hint="eastAsia" w:ascii="Times New Roman" w:hAnsi="Times New Roman" w:eastAsia="宋体" w:cs="宋体"/>
                <w:color w:val="auto"/>
                <w:lang w:val="en-US" w:eastAsia="zh-CN"/>
              </w:rPr>
              <w:t>/管理者代表</w:t>
            </w:r>
            <w:r>
              <w:rPr>
                <w:rFonts w:hint="eastAsia" w:ascii="Times New Roman" w:hAnsi="Times New Roman" w:eastAsia="宋体" w:cs="宋体"/>
                <w:color w:val="auto"/>
              </w:rPr>
              <w:t>：</w:t>
            </w:r>
            <w:r>
              <w:rPr>
                <w:rFonts w:hint="eastAsia" w:ascii="Times New Roman" w:hAnsi="Times New Roman" w:eastAsia="宋体" w:cs="宋体"/>
                <w:color w:val="auto"/>
                <w:lang w:val="en-US" w:eastAsia="zh-CN"/>
              </w:rPr>
              <w:t xml:space="preserve">郭向乐     </w:t>
            </w:r>
            <w:r>
              <w:rPr>
                <w:rFonts w:hint="eastAsia" w:ascii="Times New Roman" w:hAnsi="Times New Roman" w:eastAsia="宋体" w:cs="宋体"/>
                <w:color w:val="auto"/>
              </w:rPr>
              <w:t>陪同人员：</w:t>
            </w:r>
            <w:r>
              <w:rPr>
                <w:rFonts w:hint="eastAsia" w:ascii="Times New Roman" w:hAnsi="Times New Roman" w:eastAsia="宋体" w:cs="宋体"/>
                <w:color w:val="auto"/>
                <w:lang w:val="en-US" w:eastAsia="zh-CN"/>
              </w:rPr>
              <w:t>武延其</w:t>
            </w:r>
          </w:p>
        </w:tc>
        <w:tc>
          <w:tcPr>
            <w:tcW w:w="1585" w:type="dxa"/>
            <w:vMerge w:val="restart"/>
            <w:vAlign w:val="center"/>
          </w:tcPr>
          <w:p>
            <w:pPr>
              <w:rPr>
                <w:rFonts w:hint="eastAsia" w:ascii="Times New Roman" w:hAnsi="Times New Roman" w:eastAsia="宋体" w:cs="宋体"/>
                <w:color w:val="auto"/>
              </w:rPr>
            </w:pPr>
            <w:r>
              <w:rPr>
                <w:rFonts w:hint="eastAsia" w:ascii="Times New Roman" w:hAnsi="Times New Roman" w:eastAsia="宋体" w:cs="宋体"/>
                <w:color w:val="auto"/>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Times New Roman" w:hAnsi="Times New Roman" w:eastAsia="宋体" w:cs="宋体"/>
                <w:color w:val="auto"/>
              </w:rPr>
            </w:pPr>
          </w:p>
        </w:tc>
        <w:tc>
          <w:tcPr>
            <w:tcW w:w="960" w:type="dxa"/>
            <w:vMerge w:val="continue"/>
            <w:vAlign w:val="center"/>
          </w:tcPr>
          <w:p>
            <w:pPr>
              <w:rPr>
                <w:rFonts w:hint="eastAsia" w:ascii="Times New Roman" w:hAnsi="Times New Roman" w:eastAsia="宋体" w:cs="宋体"/>
                <w:color w:val="auto"/>
              </w:rPr>
            </w:pPr>
          </w:p>
        </w:tc>
        <w:tc>
          <w:tcPr>
            <w:tcW w:w="10004" w:type="dxa"/>
            <w:vAlign w:val="center"/>
          </w:tcPr>
          <w:p>
            <w:pPr>
              <w:rPr>
                <w:rFonts w:hint="eastAsia" w:ascii="Times New Roman" w:hAnsi="Times New Roman" w:eastAsia="宋体" w:cs="宋体"/>
                <w:color w:val="auto"/>
              </w:rPr>
            </w:pPr>
            <w:r>
              <w:rPr>
                <w:rFonts w:hint="eastAsia" w:ascii="Times New Roman" w:hAnsi="Times New Roman" w:eastAsia="宋体" w:cs="宋体"/>
                <w:color w:val="auto"/>
              </w:rPr>
              <w:t>审核员：</w:t>
            </w:r>
            <w:bookmarkStart w:id="0" w:name="审核组成员不含组长"/>
            <w:r>
              <w:rPr>
                <w:rFonts w:hint="eastAsia" w:ascii="Times New Roman" w:hAnsi="Times New Roman" w:eastAsia="宋体" w:cs="宋体"/>
                <w:color w:val="auto"/>
              </w:rPr>
              <w:t>李丽英</w:t>
            </w:r>
            <w:bookmarkEnd w:id="0"/>
            <w:r>
              <w:rPr>
                <w:rFonts w:hint="eastAsia" w:ascii="Times New Roman" w:hAnsi="Times New Roman" w:eastAsia="宋体" w:cs="宋体"/>
                <w:color w:val="auto"/>
                <w:lang w:val="en-US" w:eastAsia="zh-CN"/>
              </w:rPr>
              <w:t xml:space="preserve">         </w:t>
            </w:r>
            <w:r>
              <w:rPr>
                <w:rFonts w:hint="eastAsia" w:ascii="Times New Roman" w:hAnsi="Times New Roman" w:eastAsia="宋体" w:cs="宋体"/>
                <w:color w:val="auto"/>
              </w:rPr>
              <w:t>审核时间：</w:t>
            </w:r>
            <w:bookmarkStart w:id="1" w:name="审核日期"/>
            <w:r>
              <w:rPr>
                <w:rFonts w:hint="eastAsia" w:ascii="Times New Roman" w:hAnsi="Times New Roman" w:eastAsia="宋体" w:cs="宋体"/>
                <w:color w:val="auto"/>
              </w:rPr>
              <w:t>2022年03月</w:t>
            </w:r>
            <w:r>
              <w:rPr>
                <w:rFonts w:hint="eastAsia" w:ascii="Times New Roman" w:hAnsi="Times New Roman" w:eastAsia="宋体" w:cs="宋体"/>
                <w:color w:val="auto"/>
                <w:lang w:val="en-US" w:eastAsia="zh-CN"/>
              </w:rPr>
              <w:t>30</w:t>
            </w:r>
            <w:r>
              <w:rPr>
                <w:rFonts w:hint="eastAsia" w:ascii="Times New Roman" w:hAnsi="Times New Roman" w:eastAsia="宋体" w:cs="宋体"/>
                <w:color w:val="auto"/>
              </w:rPr>
              <w:t>日 上午</w:t>
            </w:r>
            <w:bookmarkEnd w:id="1"/>
          </w:p>
        </w:tc>
        <w:tc>
          <w:tcPr>
            <w:tcW w:w="1585" w:type="dxa"/>
            <w:vMerge w:val="continue"/>
          </w:tcPr>
          <w:p>
            <w:pPr>
              <w:rPr>
                <w:rFonts w:hint="eastAsia" w:ascii="Times New Roman" w:hAnsi="Times New Roman"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Times New Roman" w:hAnsi="Times New Roman" w:eastAsia="宋体" w:cs="宋体"/>
                <w:color w:val="auto"/>
              </w:rPr>
            </w:pPr>
          </w:p>
        </w:tc>
        <w:tc>
          <w:tcPr>
            <w:tcW w:w="960" w:type="dxa"/>
            <w:vMerge w:val="continue"/>
            <w:vAlign w:val="center"/>
          </w:tcPr>
          <w:p>
            <w:pPr>
              <w:rPr>
                <w:rFonts w:hint="eastAsia" w:ascii="Times New Roman" w:hAnsi="Times New Roman" w:eastAsia="宋体" w:cs="宋体"/>
                <w:color w:val="auto"/>
              </w:rPr>
            </w:pPr>
          </w:p>
        </w:tc>
        <w:tc>
          <w:tcPr>
            <w:tcW w:w="10004" w:type="dxa"/>
            <w:vAlign w:val="center"/>
          </w:tcPr>
          <w:p>
            <w:pPr>
              <w:rPr>
                <w:rFonts w:hint="eastAsia" w:ascii="Times New Roman" w:hAnsi="Times New Roman" w:eastAsia="宋体" w:cs="宋体"/>
                <w:color w:val="auto"/>
              </w:rPr>
            </w:pPr>
            <w:r>
              <w:rPr>
                <w:rFonts w:hint="eastAsia" w:ascii="Times New Roman" w:hAnsi="Times New Roman" w:eastAsia="宋体" w:cs="宋体"/>
                <w:color w:val="auto"/>
              </w:rPr>
              <w:t>审核条款：</w:t>
            </w:r>
            <w:r>
              <w:rPr>
                <w:rFonts w:hint="default" w:ascii="Times New Roman" w:hAnsi="Times New Roman" w:eastAsia="宋体" w:cs="宋体"/>
                <w:color w:val="auto"/>
                <w:lang w:val="en-US" w:eastAsia="zh-CN"/>
              </w:rPr>
              <w:t>QEO</w:t>
            </w:r>
            <w:r>
              <w:rPr>
                <w:rFonts w:hint="default" w:ascii="Times New Roman" w:hAnsi="Times New Roman" w:eastAsia="宋体" w:cs="宋体"/>
                <w:color w:val="auto"/>
              </w:rPr>
              <w:t>4.1/4.2/4.3/4.4/5.1/5.2/5.3/6.1/6.2/7.1/9.3/10.1/10.3/</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Q</w:t>
            </w:r>
            <w:r>
              <w:rPr>
                <w:rFonts w:hint="default" w:ascii="Times New Roman" w:hAnsi="Times New Roman" w:eastAsia="宋体" w:cs="宋体"/>
                <w:color w:val="auto"/>
              </w:rPr>
              <w:t>6.3</w:t>
            </w:r>
          </w:p>
        </w:tc>
        <w:tc>
          <w:tcPr>
            <w:tcW w:w="1585" w:type="dxa"/>
            <w:vMerge w:val="continue"/>
          </w:tcPr>
          <w:p>
            <w:pPr>
              <w:rPr>
                <w:rFonts w:hint="eastAsia" w:ascii="Times New Roman" w:hAnsi="Times New Roman" w:eastAsia="宋体" w:cs="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rPr>
                <w:rFonts w:hint="eastAsia" w:ascii="Times New Roman" w:hAnsi="Times New Roman" w:eastAsia="宋体" w:cs="宋体"/>
                <w:color w:val="auto"/>
              </w:rPr>
            </w:pPr>
            <w:r>
              <w:rPr>
                <w:rFonts w:hint="default" w:ascii="Times New Roman" w:hAnsi="Times New Roman" w:eastAsia="宋体" w:cs="宋体"/>
                <w:color w:val="auto"/>
              </w:rPr>
              <w:t>组织及其环境</w:t>
            </w:r>
          </w:p>
        </w:tc>
        <w:tc>
          <w:tcPr>
            <w:tcW w:w="960" w:type="dxa"/>
          </w:tcPr>
          <w:p>
            <w:pPr>
              <w:rPr>
                <w:rFonts w:hint="default" w:ascii="Times New Roman" w:hAnsi="Times New Roman" w:eastAsia="宋体" w:cs="宋体"/>
                <w:color w:val="auto"/>
                <w:lang w:val="en-US"/>
              </w:rPr>
            </w:pPr>
            <w:r>
              <w:rPr>
                <w:rFonts w:hint="default" w:ascii="Times New Roman" w:hAnsi="Times New Roman" w:eastAsia="宋体" w:cs="宋体"/>
                <w:color w:val="auto"/>
                <w:lang w:val="en-US" w:eastAsia="zh-CN"/>
              </w:rPr>
              <w:t>QEO</w:t>
            </w:r>
            <w:r>
              <w:rPr>
                <w:rFonts w:hint="eastAsia" w:ascii="Times New Roman" w:hAnsi="Times New Roman" w:eastAsia="宋体" w:cs="宋体"/>
                <w:color w:val="auto"/>
                <w:lang w:val="en-US" w:eastAsia="zh-CN"/>
              </w:rPr>
              <w:t>4.1</w:t>
            </w:r>
          </w:p>
        </w:tc>
        <w:tc>
          <w:tcPr>
            <w:tcW w:w="10004"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石家庄三德办公家具有限公司一直以來从事钢制办公家具的生产经营，致力于为办公人士提供简单、快捷的家具服务。主要经营的产品和服务有：书架、钢制药柜、目录柜、图钢制书柜、铁皮柜、玻璃柜、衣柜、多斗柜、货架、图钢制办公桌、校用设备、公寓床、图钢制活动柜、期刊架、阅览桌、底图柜、图书柜、图书館家具、文件柜、档案柜、保险箱（柜）、密集架、办公屏风、办公桌椅等办公家具产品。 石家庄三德办公家具有限公司以较优的价格，较好的质量呈现給广大商戶。努力为用戶提供快捷的配送服务，为企事业单位设计舒适的工作生活环境。</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 xml:space="preserve">公司确定与其目标和战略方向相关并影响实现质量、环境、职业健康安全管理体系预期结果的各种外部和内部因素。 </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内部因素：组织总体表现，包括财务因素；资源因素，包括基础设施、过程运行环境、组织的知识；人力因素，例如人员能力、组织文化、工会谈判和协议；运营因素，例如过程、生产或交付能力、QES管理体系绩效、顾客及相关方的评价；组织治理相关因素，如决策的规则和程序及组织架构。</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外部因素：宏观经济学因素，例如货币兑换汇率预测、国家经济走向、通货膨胀预测、信货可得性；社会因素，例如本地失业率、安全感、教育水平、公共假日及工作时间；政治因素，例如政治稳定性、公共投入、本地基础设施、国际贸易协议；技术因素例，如新领域科技、材料及设备、专利有效期，职业道德准则；竞争力，包括组织市场占有率、相似或可替代项目及服务、市场领先者趋势、顾客增长趋势、市场稳定性；影响工作环境的因素，例如法律法规要求、包括环境法规及行为准则。</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公司管理层和各部门，根据涉及到本部门的内外部因素，在年度工作总结报告中应进行分析。</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这些信息应形成文件，并输入管理评审。</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提供2021年10月企业编制并批准的《组织环境识别表》和《内外部环境分析报告》，采用SWOT分析，对组织的内部条件存在的优势和劣势，外部条件存在机遇和威胁进行分析，确定企业的战略选择，基本合理。</w:t>
            </w:r>
          </w:p>
        </w:tc>
        <w:tc>
          <w:tcPr>
            <w:tcW w:w="1585"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160" w:type="dxa"/>
          </w:tcPr>
          <w:p>
            <w:pPr>
              <w:rPr>
                <w:rFonts w:hint="eastAsia" w:ascii="Times New Roman" w:hAnsi="Times New Roman" w:eastAsia="宋体" w:cs="宋体"/>
                <w:color w:val="auto"/>
              </w:rPr>
            </w:pPr>
            <w:r>
              <w:rPr>
                <w:rFonts w:hint="default" w:ascii="Times New Roman" w:hAnsi="Times New Roman" w:eastAsia="宋体" w:cs="宋体"/>
                <w:color w:val="auto"/>
              </w:rPr>
              <w:t>相关方的需求和希望</w:t>
            </w:r>
          </w:p>
        </w:tc>
        <w:tc>
          <w:tcPr>
            <w:tcW w:w="960" w:type="dxa"/>
            <w:vAlign w:val="top"/>
          </w:tcPr>
          <w:p>
            <w:pPr>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QEO</w:t>
            </w:r>
            <w:r>
              <w:rPr>
                <w:rFonts w:hint="eastAsia" w:ascii="Times New Roman" w:hAnsi="Times New Roman" w:eastAsia="宋体" w:cs="宋体"/>
                <w:color w:val="auto"/>
                <w:lang w:val="en-US" w:eastAsia="zh-CN"/>
              </w:rPr>
              <w:t>4.2</w:t>
            </w:r>
          </w:p>
        </w:tc>
        <w:tc>
          <w:tcPr>
            <w:tcW w:w="10004"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该公司确定的利益相关方的需求和期望包括：</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顾客：项目质量、交付期、服务、价格以及合同中约定的其他事项；</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外部供方：能否能够成为战略合作伙伴、价格的适宜性、交付期的合理性、约定付款符合性、质量信息的共享以及合约中的其他事项；</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股东：遵守法律法规，规避经营风险、担保慎重、合理的负债、审计结果可信、盈利能力不断提升；</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员工：基本需求：环境影响的需求：基本的生活保障、职业安全、平等的地位、得到他人的尊重、得到领导或组织的肯定、获得晋升机会、体现自身价值的奖励、具有竞争力的薪酬、培训与发展机会。个性影响的需求：对组织的归属感、平等的机会、优于他人的收入或地位、富有挑战性的工作、工作内容丰富化、经常性的岗位轮换、学习与发展机会、能够实现自身理想的机会、承担重要责任的机会；</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有贷款的银行：持续稳定的发展，经营情况好，按时还贷、企业信誉好；</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政府和社会：负责任的企业、有良知的企业、无污染的企业、持续发展的企业。包括法律法规及监管机关，地方社区团体，非政府组织。</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高层领导应对这些需求和期望在年度工作总结时评价公司满足这些希求和期望的状况，不断提升满足这些需求和期望的能力，全体员工对相关方的需求和期望应当理解，并在工作中加以落实。</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提供2021年10月5日编制并批准的《相关方的需求和期望清单》识别了相关方的类型、希望和需求，并制定了监测指标或项目、监测频率、考核要求等进行管理。基本符合要求。</w:t>
            </w:r>
          </w:p>
        </w:tc>
        <w:tc>
          <w:tcPr>
            <w:tcW w:w="1585"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160" w:type="dxa"/>
          </w:tcPr>
          <w:p>
            <w:pPr>
              <w:rPr>
                <w:rFonts w:hint="eastAsia" w:ascii="Times New Roman" w:hAnsi="Times New Roman" w:eastAsia="宋体" w:cs="宋体"/>
                <w:color w:val="auto"/>
              </w:rPr>
            </w:pPr>
            <w:r>
              <w:rPr>
                <w:rFonts w:hint="default" w:ascii="Times New Roman" w:hAnsi="Times New Roman" w:eastAsia="宋体" w:cs="宋体"/>
                <w:color w:val="auto"/>
              </w:rPr>
              <w:t>管理体系的范围</w:t>
            </w:r>
          </w:p>
        </w:tc>
        <w:tc>
          <w:tcPr>
            <w:tcW w:w="960" w:type="dxa"/>
            <w:vAlign w:val="top"/>
          </w:tcPr>
          <w:p>
            <w:pPr>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QEO</w:t>
            </w:r>
            <w:r>
              <w:rPr>
                <w:rFonts w:hint="eastAsia" w:ascii="Times New Roman" w:hAnsi="Times New Roman" w:eastAsia="宋体" w:cs="宋体"/>
                <w:color w:val="auto"/>
                <w:lang w:val="en-US" w:eastAsia="zh-CN"/>
              </w:rPr>
              <w:t>4.3</w:t>
            </w:r>
          </w:p>
        </w:tc>
        <w:tc>
          <w:tcPr>
            <w:tcW w:w="10004" w:type="dxa"/>
          </w:tcPr>
          <w:p>
            <w:pPr>
              <w:rPr>
                <w:rFonts w:hint="eastAsia" w:ascii="Times New Roman" w:hAnsi="Times New Roman" w:eastAsia="宋体" w:cs="宋体"/>
                <w:color w:val="auto"/>
                <w:lang w:val="en-US" w:eastAsia="zh-CN"/>
              </w:rPr>
            </w:pPr>
            <w:bookmarkStart w:id="2" w:name="审核范围"/>
            <w:r>
              <w:rPr>
                <w:rFonts w:hint="eastAsia" w:ascii="Times New Roman" w:hAnsi="Times New Roman" w:eastAsia="宋体" w:cs="宋体"/>
                <w:color w:val="auto"/>
                <w:lang w:val="en-US" w:eastAsia="zh-CN"/>
              </w:rPr>
              <w:t>公司确定的管理体系覆盖的范围：石家庄三德办公家具有限公司所从事的钢木、钢制办公家具的生产所涉及到的相关管理活动。</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本次审核确定的审核范围：</w:t>
            </w:r>
          </w:p>
          <w:p>
            <w:pPr>
              <w:rPr>
                <w:rFonts w:hint="default" w:ascii="Times New Roman" w:hAnsi="Times New Roman" w:eastAsia="宋体" w:cs="宋体"/>
                <w:color w:val="auto"/>
              </w:rPr>
            </w:pPr>
            <w:r>
              <w:rPr>
                <w:rFonts w:hint="default" w:ascii="Times New Roman" w:hAnsi="Times New Roman" w:eastAsia="宋体" w:cs="宋体"/>
                <w:color w:val="auto"/>
              </w:rPr>
              <w:t>Q：钢木、钢制办公家具的生产</w:t>
            </w:r>
          </w:p>
          <w:p>
            <w:pPr>
              <w:rPr>
                <w:rFonts w:hint="default" w:ascii="Times New Roman" w:hAnsi="Times New Roman" w:eastAsia="宋体" w:cs="宋体"/>
                <w:color w:val="auto"/>
              </w:rPr>
            </w:pPr>
            <w:r>
              <w:rPr>
                <w:rFonts w:hint="default" w:ascii="Times New Roman" w:hAnsi="Times New Roman" w:eastAsia="宋体" w:cs="宋体"/>
                <w:color w:val="auto"/>
              </w:rPr>
              <w:t>E：钢木、钢制办公家具的生产所涉及场所的相关环境管理活动</w:t>
            </w:r>
          </w:p>
          <w:p>
            <w:pPr>
              <w:rPr>
                <w:rFonts w:hint="default" w:ascii="Times New Roman" w:hAnsi="Times New Roman" w:eastAsia="宋体" w:cs="宋体"/>
                <w:color w:val="auto"/>
              </w:rPr>
            </w:pPr>
            <w:r>
              <w:rPr>
                <w:rFonts w:hint="default" w:ascii="Times New Roman" w:hAnsi="Times New Roman" w:eastAsia="宋体" w:cs="宋体"/>
                <w:color w:val="auto"/>
              </w:rPr>
              <w:t>O：钢木、钢制办公家具的生产所涉及场所的相关职业健康安全管理活动</w:t>
            </w:r>
            <w:bookmarkEnd w:id="2"/>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范围一致，符合要求。</w:t>
            </w:r>
          </w:p>
        </w:tc>
        <w:tc>
          <w:tcPr>
            <w:tcW w:w="1585"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tcPr>
          <w:p>
            <w:pPr>
              <w:rPr>
                <w:rFonts w:hint="default" w:ascii="Times New Roman" w:hAnsi="Times New Roman" w:eastAsia="宋体" w:cs="宋体"/>
                <w:color w:val="auto"/>
              </w:rPr>
            </w:pPr>
            <w:r>
              <w:rPr>
                <w:rFonts w:hint="default" w:ascii="Times New Roman" w:hAnsi="Times New Roman" w:eastAsia="宋体" w:cs="宋体"/>
                <w:color w:val="auto"/>
              </w:rPr>
              <w:t>管理体系及其过程</w:t>
            </w:r>
          </w:p>
        </w:tc>
        <w:tc>
          <w:tcPr>
            <w:tcW w:w="960" w:type="dxa"/>
            <w:vAlign w:val="top"/>
          </w:tcPr>
          <w:p>
            <w:pPr>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QEO</w:t>
            </w:r>
            <w:r>
              <w:rPr>
                <w:rFonts w:hint="eastAsia" w:ascii="Times New Roman" w:hAnsi="Times New Roman" w:eastAsia="宋体" w:cs="宋体"/>
                <w:color w:val="auto"/>
                <w:lang w:val="en-US" w:eastAsia="zh-CN"/>
              </w:rPr>
              <w:t>4.4</w:t>
            </w:r>
          </w:p>
        </w:tc>
        <w:tc>
          <w:tcPr>
            <w:tcW w:w="10004"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该公司按照GB/T19001-2016《质量管理体系 要求》、GB/T24001-2016《环境管理体系 要求及使用指南》、GB/T45001-2020《职业健康安全管理体系要求及使用指南》标准的要求，建立、实施、保持和持续改进公司管理体系，包括所需过程及其相互作用，不同的过程产生相应的环境因素和职业健康安全风险因素，有些过程产生重要的环境因素和职业健康安全风险因素。确定管理体系所需的过程及其在整个组织内的应用，包括：这些过程所需的输入和期望的输出；过程的顺序和相互作用；所需的准则和方法；获得这些过程所需的资源；过程相关的责任和权限；评价这些过程，实施所需的变更，以确保实现这些过程的预期结果；改进过程和管理体系。</w:t>
            </w:r>
          </w:p>
          <w:p>
            <w:pPr>
              <w:rPr>
                <w:rFonts w:hint="default" w:ascii="Times New Roman" w:hAnsi="Times New Roman" w:eastAsia="宋体" w:cs="宋体"/>
                <w:color w:val="auto"/>
              </w:rPr>
            </w:pPr>
            <w:r>
              <w:rPr>
                <w:rFonts w:hint="eastAsia" w:ascii="Times New Roman" w:hAnsi="Times New Roman" w:eastAsia="宋体" w:cs="宋体"/>
                <w:color w:val="auto"/>
                <w:lang w:val="en-US" w:eastAsia="zh-CN"/>
              </w:rPr>
              <w:t>公司通过对过程的输入、输出及开展的活动和投入的资源做出明确的规定，给出控制管理体系的准则和方法，包括程序文件、管理制度、业务规范、环境和职业健康安全管理方案及实施细则等。</w:t>
            </w:r>
          </w:p>
        </w:tc>
        <w:tc>
          <w:tcPr>
            <w:tcW w:w="1585"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tcPr>
          <w:p>
            <w:pPr>
              <w:rPr>
                <w:rFonts w:hint="default" w:ascii="Times New Roman" w:hAnsi="Times New Roman" w:eastAsia="宋体" w:cs="宋体"/>
                <w:color w:val="auto"/>
              </w:rPr>
            </w:pPr>
            <w:r>
              <w:rPr>
                <w:rFonts w:hint="default" w:ascii="Times New Roman" w:hAnsi="Times New Roman" w:eastAsia="宋体" w:cs="宋体"/>
                <w:color w:val="auto"/>
              </w:rPr>
              <w:t>领导作用和承诺</w:t>
            </w:r>
          </w:p>
        </w:tc>
        <w:tc>
          <w:tcPr>
            <w:tcW w:w="960" w:type="dxa"/>
            <w:vAlign w:val="top"/>
          </w:tcPr>
          <w:p>
            <w:pPr>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QEO</w:t>
            </w:r>
            <w:r>
              <w:rPr>
                <w:rFonts w:hint="eastAsia" w:ascii="Times New Roman" w:hAnsi="Times New Roman" w:eastAsia="宋体" w:cs="宋体"/>
                <w:color w:val="auto"/>
                <w:lang w:val="en-US" w:eastAsia="zh-CN"/>
              </w:rPr>
              <w:t>5.1</w:t>
            </w:r>
          </w:p>
        </w:tc>
        <w:tc>
          <w:tcPr>
            <w:tcW w:w="10004" w:type="dxa"/>
          </w:tcPr>
          <w:p>
            <w:pPr>
              <w:rPr>
                <w:rFonts w:hint="default" w:ascii="Times New Roman" w:hAnsi="Times New Roman" w:eastAsia="宋体" w:cs="宋体"/>
                <w:color w:val="auto"/>
              </w:rPr>
            </w:pPr>
            <w:r>
              <w:rPr>
                <w:rFonts w:hint="eastAsia" w:ascii="Times New Roman" w:hAnsi="Times New Roman" w:eastAsia="宋体" w:cs="宋体"/>
                <w:color w:val="auto"/>
                <w:lang w:val="en-US" w:eastAsia="zh-CN"/>
              </w:rPr>
              <w:t>总经理对质量、环境、职业健康安全管理体系的领导作用和承诺,通过：对管理体系的有效性负责，并承担体系运行主要责任；确保制定管理体系的方针和管理目标，并与组织战略方向一致；确保管理体系的要求融入组织的业务过程；促进使用过程方法和基于风险的思维；确保获得管理体系所需的资源；就管理体系的重要性和符合管理体系要求的重要性进行沟通；在组织内发展、引领并促成一种支持效管理体系预期结果的文化；确保实现管理体系的预期结果； 促使、指导和支持员工努力提高管理体系的有效性做出贡献；推动改进；支持其他相关管理者履行其相关领域的职责范围内证实及领导作用；保护员工在报告事件、危险源、风险和机遇是免遭报复；确保组织建立并并实施员工协商和参与的过程；支持健康和安全委员会的建立和运行等来实现。</w:t>
            </w:r>
          </w:p>
        </w:tc>
        <w:tc>
          <w:tcPr>
            <w:tcW w:w="1585"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tcPr>
          <w:p>
            <w:pPr>
              <w:rPr>
                <w:rFonts w:hint="default" w:ascii="Times New Roman" w:hAnsi="Times New Roman" w:eastAsia="宋体" w:cs="宋体"/>
                <w:color w:val="auto"/>
              </w:rPr>
            </w:pPr>
            <w:r>
              <w:rPr>
                <w:rFonts w:hint="default" w:ascii="Times New Roman" w:hAnsi="Times New Roman" w:eastAsia="宋体" w:cs="宋体"/>
                <w:color w:val="auto"/>
              </w:rPr>
              <w:t>以顾客为关注焦点</w:t>
            </w:r>
          </w:p>
        </w:tc>
        <w:tc>
          <w:tcPr>
            <w:tcW w:w="960" w:type="dxa"/>
            <w:vAlign w:val="top"/>
          </w:tcPr>
          <w:p>
            <w:pPr>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Q</w:t>
            </w:r>
            <w:r>
              <w:rPr>
                <w:rFonts w:hint="eastAsia" w:ascii="Times New Roman" w:hAnsi="Times New Roman" w:eastAsia="宋体" w:cs="宋体"/>
                <w:color w:val="auto"/>
                <w:lang w:val="en-US" w:eastAsia="zh-CN"/>
              </w:rPr>
              <w:t>5.1.2</w:t>
            </w:r>
          </w:p>
        </w:tc>
        <w:tc>
          <w:tcPr>
            <w:tcW w:w="10004"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 xml:space="preserve">最高管理者应证实其以顾客为关注焦点的领导作用和承诺,通过： 确定、理解并持续满足顾客要求以及适用的法律法规要求；确定和应对能够影响项目、服务符合性以及增强顾客满意能力的风险和机遇；始终致力于增强顾客满意。 </w:t>
            </w:r>
          </w:p>
          <w:p>
            <w:pPr>
              <w:rPr>
                <w:rFonts w:hint="default" w:ascii="Times New Roman" w:hAnsi="Times New Roman" w:eastAsia="宋体" w:cs="宋体"/>
                <w:color w:val="auto"/>
              </w:rPr>
            </w:pPr>
            <w:r>
              <w:rPr>
                <w:rFonts w:hint="eastAsia" w:ascii="Times New Roman" w:hAnsi="Times New Roman" w:eastAsia="宋体" w:cs="宋体"/>
                <w:color w:val="auto"/>
                <w:lang w:val="en-US" w:eastAsia="zh-CN"/>
              </w:rPr>
              <w:t>全体员工将努力满足顾客</w:t>
            </w:r>
            <w:bookmarkStart w:id="3" w:name="OLE_LINK1"/>
            <w:r>
              <w:rPr>
                <w:rFonts w:hint="eastAsia" w:ascii="Times New Roman" w:hAnsi="Times New Roman" w:eastAsia="宋体" w:cs="宋体"/>
                <w:color w:val="auto"/>
                <w:lang w:val="en-US" w:eastAsia="zh-CN"/>
              </w:rPr>
              <w:t>和相关方</w:t>
            </w:r>
            <w:bookmarkEnd w:id="3"/>
            <w:r>
              <w:rPr>
                <w:rFonts w:hint="eastAsia" w:ascii="Times New Roman" w:hAnsi="Times New Roman" w:eastAsia="宋体" w:cs="宋体"/>
                <w:color w:val="auto"/>
                <w:lang w:val="en-US" w:eastAsia="zh-CN"/>
              </w:rPr>
              <w:t>的需求，并争取超越顾客和相关方的期望。</w:t>
            </w:r>
          </w:p>
        </w:tc>
        <w:tc>
          <w:tcPr>
            <w:tcW w:w="1585"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tcPr>
          <w:p>
            <w:pPr>
              <w:rPr>
                <w:rFonts w:hint="default" w:ascii="Times New Roman" w:hAnsi="Times New Roman" w:eastAsia="宋体" w:cs="宋体"/>
                <w:color w:val="auto"/>
              </w:rPr>
            </w:pPr>
            <w:r>
              <w:rPr>
                <w:rFonts w:hint="default" w:ascii="Times New Roman" w:hAnsi="Times New Roman" w:eastAsia="宋体" w:cs="宋体"/>
                <w:color w:val="auto"/>
              </w:rPr>
              <w:t>管理方针</w:t>
            </w:r>
          </w:p>
        </w:tc>
        <w:tc>
          <w:tcPr>
            <w:tcW w:w="960" w:type="dxa"/>
            <w:vAlign w:val="top"/>
          </w:tcPr>
          <w:p>
            <w:pPr>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QEO</w:t>
            </w:r>
            <w:r>
              <w:rPr>
                <w:rFonts w:hint="eastAsia" w:ascii="Times New Roman" w:hAnsi="Times New Roman" w:eastAsia="宋体" w:cs="宋体"/>
                <w:color w:val="auto"/>
                <w:lang w:val="en-US" w:eastAsia="zh-CN"/>
              </w:rPr>
              <w:t>5.2</w:t>
            </w:r>
          </w:p>
        </w:tc>
        <w:tc>
          <w:tcPr>
            <w:tcW w:w="10004" w:type="dxa"/>
          </w:tcPr>
          <w:p>
            <w:pPr>
              <w:rPr>
                <w:rFonts w:hint="eastAsia" w:ascii="Times New Roman" w:hAnsi="Times New Roman" w:eastAsia="宋体" w:cs="宋体"/>
                <w:color w:val="auto"/>
              </w:rPr>
            </w:pPr>
            <w:r>
              <w:rPr>
                <w:rFonts w:hint="eastAsia" w:ascii="Times New Roman" w:hAnsi="Times New Roman" w:eastAsia="宋体" w:cs="宋体"/>
                <w:color w:val="auto"/>
              </w:rPr>
              <w:t>公司的质量、环境和职业健康安全方针</w:t>
            </w:r>
            <w:r>
              <w:rPr>
                <w:rFonts w:hint="eastAsia" w:ascii="Times New Roman" w:hAnsi="Times New Roman" w:eastAsia="宋体" w:cs="宋体"/>
                <w:color w:val="auto"/>
                <w:lang w:eastAsia="zh-CN"/>
              </w:rPr>
              <w:t>：</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精益求精，追求卓越，确保顾客始终满意是我们永恒的追求；</w:t>
            </w:r>
          </w:p>
          <w:p>
            <w:pPr>
              <w:rPr>
                <w:rFonts w:hint="eastAsia" w:ascii="Times New Roman" w:hAnsi="Times New Roman" w:eastAsia="宋体" w:cs="宋体"/>
                <w:color w:val="auto"/>
              </w:rPr>
            </w:pPr>
            <w:r>
              <w:rPr>
                <w:rFonts w:hint="eastAsia" w:ascii="Times New Roman" w:hAnsi="Times New Roman" w:eastAsia="宋体" w:cs="宋体"/>
                <w:color w:val="auto"/>
              </w:rPr>
              <w:t>预防污染，达标排放，节能降耗，建设绿色环保型企业；</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rPr>
              <w:t>安全第一，预防为主，有法可依，员工的安全</w:t>
            </w:r>
            <w:r>
              <w:rPr>
                <w:rFonts w:hint="eastAsia" w:ascii="Times New Roman" w:hAnsi="Times New Roman" w:eastAsia="宋体" w:cs="宋体"/>
                <w:color w:val="auto"/>
                <w:lang w:val="en-US" w:eastAsia="zh-CN"/>
              </w:rPr>
              <w:t>健康至上。</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体现了公司对产品质量的控制、生产过程的环境影响的控制以及对员工的职业健康和安全的关怀。</w:t>
            </w:r>
          </w:p>
          <w:p>
            <w:pPr>
              <w:rPr>
                <w:rFonts w:hint="eastAsia" w:ascii="Times New Roman" w:hAnsi="Times New Roman" w:eastAsia="宋体" w:cs="宋体"/>
                <w:color w:val="auto"/>
              </w:rPr>
            </w:pPr>
            <w:r>
              <w:rPr>
                <w:rFonts w:hint="eastAsia" w:ascii="Times New Roman" w:hAnsi="Times New Roman" w:eastAsia="宋体" w:cs="宋体"/>
                <w:color w:val="auto"/>
                <w:lang w:val="en-US" w:eastAsia="zh-CN"/>
              </w:rPr>
              <w:t>管理方针</w:t>
            </w:r>
            <w:r>
              <w:rPr>
                <w:rFonts w:hint="eastAsia" w:ascii="Times New Roman" w:hAnsi="Times New Roman" w:eastAsia="宋体" w:cs="宋体"/>
                <w:color w:val="auto"/>
              </w:rPr>
              <w:t>作为形成文件的信息，可获得并保持</w:t>
            </w:r>
            <w:r>
              <w:rPr>
                <w:rFonts w:hint="eastAsia" w:ascii="Times New Roman" w:hAnsi="Times New Roman" w:eastAsia="宋体" w:cs="宋体"/>
                <w:color w:val="auto"/>
                <w:lang w:eastAsia="zh-CN"/>
              </w:rPr>
              <w:t>：</w:t>
            </w:r>
            <w:r>
              <w:rPr>
                <w:rFonts w:hint="eastAsia" w:ascii="Times New Roman" w:hAnsi="Times New Roman" w:eastAsia="宋体" w:cs="宋体"/>
                <w:color w:val="auto"/>
              </w:rPr>
              <w:t xml:space="preserve">在公司内得到沟通、理解和应用，传达到所有在公司控制下工作的人员； 适宜时，可为有关相关方获取。 </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rPr>
              <w:t>办公室负责对管理方针进行宣贯培训，确保全体员工理解方正的内涵，并在工作中贯彻落实。每年年度工作总结应对方针的持续适宜性进行评价，以确保其与公司保持相关的和适宜。</w:t>
            </w:r>
          </w:p>
        </w:tc>
        <w:tc>
          <w:tcPr>
            <w:tcW w:w="1585"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tcPr>
          <w:p>
            <w:pPr>
              <w:rPr>
                <w:rFonts w:hint="default" w:ascii="Times New Roman" w:hAnsi="Times New Roman" w:eastAsia="宋体" w:cs="宋体"/>
                <w:color w:val="auto"/>
              </w:rPr>
            </w:pPr>
            <w:r>
              <w:rPr>
                <w:rFonts w:hint="default" w:ascii="Times New Roman" w:hAnsi="Times New Roman" w:eastAsia="宋体" w:cs="宋体"/>
                <w:color w:val="auto"/>
              </w:rPr>
              <w:t>组织的岗位、职责权限</w:t>
            </w:r>
          </w:p>
        </w:tc>
        <w:tc>
          <w:tcPr>
            <w:tcW w:w="960" w:type="dxa"/>
            <w:vAlign w:val="top"/>
          </w:tcPr>
          <w:p>
            <w:pPr>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QEO</w:t>
            </w:r>
            <w:r>
              <w:rPr>
                <w:rFonts w:hint="eastAsia" w:ascii="Times New Roman" w:hAnsi="Times New Roman" w:eastAsia="宋体" w:cs="宋体"/>
                <w:color w:val="auto"/>
                <w:lang w:val="en-US" w:eastAsia="zh-CN"/>
              </w:rPr>
              <w:t>5.3</w:t>
            </w:r>
          </w:p>
        </w:tc>
        <w:tc>
          <w:tcPr>
            <w:tcW w:w="10004"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 xml:space="preserve">总经理确保整个组织内相关岗位的职责、权限得到分派、沟通和理解。 </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 xml:space="preserve">总经理分配职责和权限，以：确保管理体系符合标准的要求；确保各过程获得其预期输出；获取管理体系的绩效及其改进机会，特别向最高管理者报告；在整个组织推动以顾客为关注焦点； 确保在策划和实施质量、环境、职业健康安全管理体系变更时保持其完整性。 </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公司的组织机构包括总经理带领下的综合部和生技部，机构设置可以满足企业运营要求，职责明确。</w:t>
            </w:r>
          </w:p>
        </w:tc>
        <w:tc>
          <w:tcPr>
            <w:tcW w:w="1585"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tcPr>
          <w:p>
            <w:pPr>
              <w:rPr>
                <w:rFonts w:hint="eastAsia" w:ascii="Times New Roman" w:hAnsi="Times New Roman" w:eastAsia="宋体" w:cs="宋体"/>
                <w:color w:val="auto"/>
                <w:lang w:val="en-US" w:eastAsia="zh-CN"/>
              </w:rPr>
            </w:pPr>
            <w:r>
              <w:rPr>
                <w:rFonts w:hint="default" w:ascii="Times New Roman" w:hAnsi="Times New Roman" w:eastAsia="宋体" w:cs="宋体"/>
                <w:color w:val="auto"/>
              </w:rPr>
              <w:t>应对风险和机会的策划</w:t>
            </w:r>
            <w:r>
              <w:rPr>
                <w:rFonts w:hint="eastAsia" w:ascii="Times New Roman" w:hAnsi="Times New Roman" w:eastAsia="宋体" w:cs="宋体"/>
                <w:color w:val="auto"/>
                <w:lang w:val="en-US" w:eastAsia="zh-CN"/>
              </w:rPr>
              <w:t>及应对措施</w:t>
            </w:r>
          </w:p>
        </w:tc>
        <w:tc>
          <w:tcPr>
            <w:tcW w:w="960" w:type="dxa"/>
            <w:vAlign w:val="top"/>
          </w:tcPr>
          <w:p>
            <w:pPr>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QEO</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6.1.1/</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6.1.4</w:t>
            </w:r>
          </w:p>
        </w:tc>
        <w:tc>
          <w:tcPr>
            <w:tcW w:w="10004" w:type="dxa"/>
          </w:tcPr>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企业编制了《风险和机遇应对控制程序》并按照程序控制执行。</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 xml:space="preserve">公司总经理组织相关部门策划质量、环境、职业健康安全管理体系，考虑到内外部环境描述的因素、问题和相关方要求，确定公司的管理体系范围、环境因素和危险源、法定要求和其他要求，确定需要应对的风险和机遇，以：确保质量、环境、职业健康安全管理体系能够实现其预期结果；增强有利影响，避免、预防或减少不期望的结果，包括影响组织的潜在的外部环境状况；实现持续改进。 </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在策划过程中考虑了紧急情况和变更带来的相关的风险和机遇。</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提供2021年10月编制并批准的《风险和机遇评估分析表》分析了风险和机遇来源30种，针对每一种风险和机遇进行风险分析，制定管理措施，落实责任人，及实施时间，并定期评价措施的有效性。</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rPr>
              <w:drawing>
                <wp:inline distT="0" distB="0" distL="114300" distR="114300">
                  <wp:extent cx="6209030" cy="1049020"/>
                  <wp:effectExtent l="0" t="0" r="127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209030" cy="1049020"/>
                          </a:xfrm>
                          <a:prstGeom prst="rect">
                            <a:avLst/>
                          </a:prstGeom>
                          <a:noFill/>
                          <a:ln>
                            <a:noFill/>
                          </a:ln>
                        </pic:spPr>
                      </pic:pic>
                    </a:graphicData>
                  </a:graphic>
                </wp:inline>
              </w:drawing>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形成《风险评估报告》，对风险进行控制和管理。</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符合要求。</w:t>
            </w:r>
          </w:p>
        </w:tc>
        <w:tc>
          <w:tcPr>
            <w:tcW w:w="1585"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rPr>
                <w:rFonts w:hint="default" w:ascii="Times New Roman" w:hAnsi="Times New Roman" w:eastAsia="宋体" w:cs="宋体"/>
                <w:color w:val="auto"/>
              </w:rPr>
            </w:pPr>
            <w:r>
              <w:rPr>
                <w:rFonts w:hint="default" w:ascii="Times New Roman" w:hAnsi="Times New Roman" w:eastAsia="宋体" w:cs="宋体"/>
                <w:color w:val="auto"/>
              </w:rPr>
              <w:t>目标和实现计划</w:t>
            </w:r>
          </w:p>
          <w:p>
            <w:pPr>
              <w:rPr>
                <w:rFonts w:hint="default" w:ascii="Times New Roman" w:hAnsi="Times New Roman" w:eastAsia="宋体" w:cs="宋体"/>
                <w:color w:val="auto"/>
              </w:rPr>
            </w:pPr>
          </w:p>
        </w:tc>
        <w:tc>
          <w:tcPr>
            <w:tcW w:w="960" w:type="dxa"/>
            <w:vAlign w:val="top"/>
          </w:tcPr>
          <w:p>
            <w:pPr>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QEO</w:t>
            </w:r>
            <w:r>
              <w:rPr>
                <w:rFonts w:hint="eastAsia" w:ascii="Times New Roman" w:hAnsi="Times New Roman" w:eastAsia="宋体" w:cs="宋体"/>
                <w:color w:val="auto"/>
                <w:lang w:val="en-US" w:eastAsia="zh-CN"/>
              </w:rPr>
              <w:t>6.2</w:t>
            </w:r>
          </w:p>
        </w:tc>
        <w:tc>
          <w:tcPr>
            <w:tcW w:w="10004"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 xml:space="preserve">公司管理者对质量、环境、职业健康安全管理体系所需的相关职能、层次和过程考虑公司的重要环境因素、重大危险源及相关合规义务设定管理目标。 </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 xml:space="preserve">管理目标：与管理方针保持一致；可测量或可评价；考虑到适用的要求；与员工及员工代表（如有）协商的结果；与产品和服务合格以及增强顾客满意相关；予以监视和予以沟通；适时更新。 </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公司管理目标由公司内部商定，最后由总经理批准并发布。</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公司目标：质量目标</w:t>
            </w:r>
            <w:r>
              <w:rPr>
                <w:rFonts w:hint="eastAsia" w:ascii="Times New Roman" w:hAnsi="Times New Roman" w:eastAsia="宋体" w:cs="宋体"/>
                <w:color w:val="auto"/>
                <w:lang w:val="en-US" w:eastAsia="zh-CN"/>
              </w:rPr>
              <w:tab/>
            </w:r>
            <w:r>
              <w:rPr>
                <w:rFonts w:hint="eastAsia" w:ascii="Times New Roman" w:hAnsi="Times New Roman" w:eastAsia="宋体" w:cs="宋体"/>
                <w:color w:val="auto"/>
                <w:lang w:val="en-US" w:eastAsia="zh-CN"/>
              </w:rPr>
              <w:t>一次交付合格率100%</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ab/>
            </w:r>
            <w:r>
              <w:rPr>
                <w:rFonts w:hint="eastAsia" w:ascii="Times New Roman" w:hAnsi="Times New Roman" w:eastAsia="宋体" w:cs="宋体"/>
                <w:color w:val="auto"/>
                <w:lang w:val="en-US" w:eastAsia="zh-CN"/>
              </w:rPr>
              <w:t>客户满意率≥95%</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环境目标、指标</w:t>
            </w:r>
            <w:r>
              <w:rPr>
                <w:rFonts w:hint="eastAsia" w:ascii="Times New Roman" w:hAnsi="Times New Roman" w:eastAsia="宋体" w:cs="宋体"/>
                <w:color w:val="auto"/>
                <w:lang w:val="en-US" w:eastAsia="zh-CN"/>
              </w:rPr>
              <w:tab/>
            </w:r>
            <w:r>
              <w:rPr>
                <w:rFonts w:hint="eastAsia" w:ascii="Times New Roman" w:hAnsi="Times New Roman" w:eastAsia="宋体" w:cs="宋体"/>
                <w:color w:val="auto"/>
                <w:lang w:val="en-US" w:eastAsia="zh-CN"/>
              </w:rPr>
              <w:t>固废处理达标排放</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ab/>
            </w:r>
            <w:r>
              <w:rPr>
                <w:rFonts w:hint="eastAsia" w:ascii="Times New Roman" w:hAnsi="Times New Roman" w:eastAsia="宋体" w:cs="宋体"/>
                <w:color w:val="auto"/>
                <w:lang w:val="en-US" w:eastAsia="zh-CN"/>
              </w:rPr>
              <w:t>噪声、废气达标排放</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ab/>
            </w:r>
            <w:r>
              <w:rPr>
                <w:rFonts w:hint="eastAsia" w:ascii="Times New Roman" w:hAnsi="Times New Roman" w:eastAsia="宋体" w:cs="宋体"/>
                <w:color w:val="auto"/>
                <w:lang w:val="en-US" w:eastAsia="zh-CN"/>
              </w:rPr>
              <w:t>火灾事故发生率为0</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职业健康安全目标</w:t>
            </w:r>
            <w:r>
              <w:rPr>
                <w:rFonts w:hint="eastAsia" w:ascii="Times New Roman" w:hAnsi="Times New Roman" w:eastAsia="宋体" w:cs="宋体"/>
                <w:color w:val="auto"/>
                <w:lang w:val="en-US" w:eastAsia="zh-CN"/>
              </w:rPr>
              <w:tab/>
            </w:r>
            <w:r>
              <w:rPr>
                <w:rFonts w:hint="eastAsia" w:ascii="Times New Roman" w:hAnsi="Times New Roman" w:eastAsia="宋体" w:cs="宋体"/>
                <w:color w:val="auto"/>
                <w:lang w:val="en-US" w:eastAsia="zh-CN"/>
              </w:rPr>
              <w:t>重大安全事故为0</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ab/>
            </w:r>
            <w:r>
              <w:rPr>
                <w:rFonts w:hint="eastAsia" w:ascii="Times New Roman" w:hAnsi="Times New Roman" w:eastAsia="宋体" w:cs="宋体"/>
                <w:color w:val="auto"/>
                <w:lang w:val="en-US" w:eastAsia="zh-CN"/>
              </w:rPr>
              <w:t>火灾事故发生率为0</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对目标的层级管理，及策划见《目标、指标分解方案》。</w:t>
            </w:r>
          </w:p>
          <w:p>
            <w:pPr>
              <w:rPr>
                <w:rFonts w:hint="eastAsia" w:ascii="Times New Roman" w:hAnsi="Times New Roman" w:eastAsia="宋体" w:cs="宋体"/>
                <w:color w:val="auto"/>
              </w:rPr>
            </w:pPr>
            <w:r>
              <w:rPr>
                <w:rFonts w:hint="eastAsia" w:ascii="Times New Roman" w:hAnsi="Times New Roman" w:eastAsia="宋体" w:cs="宋体"/>
                <w:color w:val="auto"/>
                <w:lang w:val="en-US" w:eastAsia="zh-CN"/>
              </w:rPr>
              <w:t>办公室负责依据公司的管理方针，协同各部门，针对职能、层级编写《目标、指标分解方案》，其中包括部门目标、监督审核频率、结果评定方式等内容。</w:t>
            </w:r>
          </w:p>
        </w:tc>
        <w:tc>
          <w:tcPr>
            <w:tcW w:w="1585"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tcPr>
          <w:p>
            <w:pPr>
              <w:rPr>
                <w:rFonts w:hint="default" w:ascii="Times New Roman" w:hAnsi="Times New Roman" w:eastAsia="宋体" w:cs="宋体"/>
                <w:color w:val="auto"/>
              </w:rPr>
            </w:pPr>
            <w:r>
              <w:rPr>
                <w:rFonts w:hint="default" w:ascii="Times New Roman" w:hAnsi="Times New Roman" w:eastAsia="宋体" w:cs="宋体"/>
                <w:color w:val="auto"/>
              </w:rPr>
              <w:t>变更的策划</w:t>
            </w:r>
          </w:p>
        </w:tc>
        <w:tc>
          <w:tcPr>
            <w:tcW w:w="960" w:type="dxa"/>
            <w:vAlign w:val="top"/>
          </w:tcPr>
          <w:p>
            <w:pPr>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Q</w:t>
            </w:r>
            <w:r>
              <w:rPr>
                <w:rFonts w:hint="eastAsia" w:ascii="Times New Roman" w:hAnsi="Times New Roman" w:eastAsia="宋体" w:cs="宋体"/>
                <w:color w:val="auto"/>
                <w:lang w:val="en-US" w:eastAsia="zh-CN"/>
              </w:rPr>
              <w:t>6.3</w:t>
            </w:r>
          </w:p>
        </w:tc>
        <w:tc>
          <w:tcPr>
            <w:tcW w:w="10004"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公司需要对质量、环境、职业健康安全管理体系进行变更时，经策划并系统地实施。变更时应考虑到：变更目的及其潜在后果；质量、环境、职业健康安全管理体系的完整性；资源的可获得性；责任和权限的分配或再分配。对变更管理体系文件进行评审，确保文件的适宜性，并经批准后发布实施。</w:t>
            </w:r>
          </w:p>
          <w:p>
            <w:pPr>
              <w:rPr>
                <w:rFonts w:hint="eastAsia" w:ascii="Times New Roman" w:hAnsi="Times New Roman" w:eastAsia="宋体" w:cs="宋体"/>
                <w:color w:val="auto"/>
              </w:rPr>
            </w:pPr>
            <w:r>
              <w:rPr>
                <w:rFonts w:hint="eastAsia" w:ascii="Times New Roman" w:hAnsi="Times New Roman" w:eastAsia="宋体" w:cs="宋体"/>
                <w:color w:val="auto"/>
                <w:lang w:val="en-US" w:eastAsia="zh-CN"/>
              </w:rPr>
              <w:t>该企业自体系运行以来未发生相关变更。</w:t>
            </w:r>
          </w:p>
        </w:tc>
        <w:tc>
          <w:tcPr>
            <w:tcW w:w="1585"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tcPr>
          <w:p>
            <w:pPr>
              <w:rPr>
                <w:rFonts w:hint="default" w:ascii="Times New Roman" w:hAnsi="Times New Roman" w:eastAsia="宋体" w:cs="宋体"/>
                <w:color w:val="auto"/>
              </w:rPr>
            </w:pPr>
            <w:r>
              <w:rPr>
                <w:rFonts w:hint="default" w:ascii="Times New Roman" w:hAnsi="Times New Roman" w:eastAsia="宋体" w:cs="宋体"/>
                <w:color w:val="auto"/>
              </w:rPr>
              <w:t>资源提供</w:t>
            </w:r>
          </w:p>
        </w:tc>
        <w:tc>
          <w:tcPr>
            <w:tcW w:w="960" w:type="dxa"/>
            <w:vAlign w:val="top"/>
          </w:tcPr>
          <w:p>
            <w:pPr>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QEO</w:t>
            </w:r>
            <w:r>
              <w:rPr>
                <w:rFonts w:hint="eastAsia" w:ascii="Times New Roman" w:hAnsi="Times New Roman" w:eastAsia="宋体" w:cs="宋体"/>
                <w:color w:val="auto"/>
                <w:lang w:val="en-US" w:eastAsia="zh-CN"/>
              </w:rPr>
              <w:t>7.1</w:t>
            </w:r>
          </w:p>
        </w:tc>
        <w:tc>
          <w:tcPr>
            <w:tcW w:w="10004"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公司确定并提供为建立、实施、保持和持续改进质量、环境、职业健康安全管理体系所需的资源。</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考虑：现有内部资源的能力和约束；需要从外部供方获得的资源。</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包括：人力资源、财力（资金）资源、物力（基础设施、运行环境、相关技术支持、信息、</w:t>
            </w:r>
            <w:r>
              <w:rPr>
                <w:rFonts w:hint="eastAsia" w:ascii="Times New Roman" w:hAnsi="Times New Roman" w:eastAsia="宋体" w:cs="宋体"/>
                <w:color w:val="auto"/>
              </w:rPr>
              <w:t>监视和测量资源</w:t>
            </w:r>
            <w:r>
              <w:rPr>
                <w:rFonts w:hint="eastAsia" w:ascii="Times New Roman" w:hAnsi="Times New Roman" w:eastAsia="宋体" w:cs="宋体"/>
                <w:color w:val="auto"/>
                <w:lang w:val="en-US" w:eastAsia="zh-CN"/>
              </w:rPr>
              <w:t>等）资源。</w:t>
            </w:r>
          </w:p>
        </w:tc>
        <w:tc>
          <w:tcPr>
            <w:tcW w:w="1585"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tcPr>
          <w:p>
            <w:pPr>
              <w:rPr>
                <w:rFonts w:hint="default" w:ascii="Times New Roman" w:hAnsi="Times New Roman" w:eastAsia="宋体" w:cs="宋体"/>
                <w:color w:val="auto"/>
              </w:rPr>
            </w:pPr>
            <w:r>
              <w:rPr>
                <w:rFonts w:hint="eastAsia" w:ascii="Times New Roman" w:hAnsi="Times New Roman" w:eastAsia="宋体" w:cs="宋体"/>
                <w:color w:val="auto"/>
                <w:lang w:val="en-US" w:eastAsia="zh-CN"/>
              </w:rPr>
              <w:t>环境因素识别、</w:t>
            </w:r>
            <w:r>
              <w:rPr>
                <w:rFonts w:hint="default" w:ascii="Times New Roman" w:hAnsi="Times New Roman" w:eastAsia="宋体" w:cs="宋体"/>
                <w:color w:val="auto"/>
              </w:rPr>
              <w:t>危险源辨识</w:t>
            </w:r>
            <w:r>
              <w:rPr>
                <w:rFonts w:hint="eastAsia" w:ascii="Times New Roman" w:hAnsi="Times New Roman" w:eastAsia="宋体" w:cs="宋体"/>
                <w:color w:val="auto"/>
                <w:lang w:val="en-US" w:eastAsia="zh-CN"/>
              </w:rPr>
              <w:t>及</w:t>
            </w:r>
            <w:r>
              <w:rPr>
                <w:rFonts w:hint="default" w:ascii="Times New Roman" w:hAnsi="Times New Roman" w:eastAsia="宋体" w:cs="宋体"/>
                <w:color w:val="auto"/>
              </w:rPr>
              <w:t>风险评价</w:t>
            </w:r>
          </w:p>
        </w:tc>
        <w:tc>
          <w:tcPr>
            <w:tcW w:w="960" w:type="dxa"/>
            <w:vAlign w:val="top"/>
          </w:tcPr>
          <w:p>
            <w:pPr>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QEO</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6.1.2</w:t>
            </w:r>
          </w:p>
        </w:tc>
        <w:tc>
          <w:tcPr>
            <w:tcW w:w="10004"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 xml:space="preserve">公司编制了《环境因素识别与评价控制程序》各本部门识别涉及到的活动、产品和服务中的环境影响并填写《环境因素清单及识别、评价表》。由办公室按照环境因素评价方法识别出重要环境因素并填写《重要环境因素清单》，并由总经理审批。 </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 xml:space="preserve">确定环境因素时，必须考虑：变更，包括已纳入计划的或新的开发以及新的修改的活动、产品和服务； 异常状况和可合理预见的紧急情况。 </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公司建立并保持《危险源识别及风险评价控制程序》。各部门依据《危险源识别及风险评价控制程序》识别本部门涉及的活动、产品和服务中的危险源并填写《危险源辩识、风险评价表》。由办公室进行风险等级评价，确定控制措施形成文件并建立《重大危险源清单》。</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公司危险源辨识和风险评价控制考虑：工作的组织方式，社会因素（包括工作量，工作时间，受害，骚扰和欺凌），组织领导和企业文化；常规及非常规的活动和情况，包括来自以下的危险源：公司内部或外部以往发生的有关事件，包括员工、承包商、访问者和其他人员；潜在紧急情况；人员因素；其他情况等</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公司重要环境因素4项：固废排放、火灾、废气排放和噪声；</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公司不可接受风险4项：火灾、触电、机械伤害、噪声伤害，</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以上制定了管控措施加以控制。</w:t>
            </w:r>
          </w:p>
        </w:tc>
        <w:tc>
          <w:tcPr>
            <w:tcW w:w="1585"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tcPr>
          <w:p>
            <w:pPr>
              <w:rPr>
                <w:rFonts w:hint="default" w:ascii="Times New Roman" w:hAnsi="Times New Roman" w:eastAsia="宋体" w:cs="宋体"/>
                <w:color w:val="auto"/>
              </w:rPr>
            </w:pPr>
            <w:r>
              <w:rPr>
                <w:rFonts w:hint="eastAsia" w:ascii="Times New Roman" w:hAnsi="Times New Roman" w:eastAsia="宋体" w:cs="宋体"/>
                <w:color w:val="auto"/>
                <w:lang w:val="en-US" w:eastAsia="zh-CN"/>
              </w:rPr>
              <w:t>合规义务/</w:t>
            </w:r>
            <w:r>
              <w:rPr>
                <w:rFonts w:hint="default" w:ascii="Times New Roman" w:hAnsi="Times New Roman" w:eastAsia="宋体" w:cs="宋体"/>
                <w:color w:val="auto"/>
              </w:rPr>
              <w:t>合规性评价</w:t>
            </w:r>
          </w:p>
        </w:tc>
        <w:tc>
          <w:tcPr>
            <w:tcW w:w="960" w:type="dxa"/>
          </w:tcPr>
          <w:p>
            <w:pPr>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QEO</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6.1.3/</w:t>
            </w:r>
          </w:p>
          <w:p>
            <w:pPr>
              <w:rPr>
                <w:rFonts w:hint="default" w:ascii="Times New Roman" w:hAnsi="Times New Roman" w:eastAsia="宋体" w:cs="宋体"/>
                <w:color w:val="auto"/>
                <w:lang w:val="en-US"/>
              </w:rPr>
            </w:pPr>
            <w:r>
              <w:rPr>
                <w:rFonts w:hint="eastAsia" w:ascii="Times New Roman" w:hAnsi="Times New Roman" w:eastAsia="宋体" w:cs="宋体"/>
                <w:color w:val="auto"/>
                <w:lang w:val="en-US" w:eastAsia="zh-CN"/>
              </w:rPr>
              <w:t>9.1.2</w:t>
            </w:r>
          </w:p>
        </w:tc>
        <w:tc>
          <w:tcPr>
            <w:tcW w:w="10004"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公司建立并保持《法律法规及其他要求控制程序》，确定并获取质量、环境和职业健康安全管理体系有关的适用法律法规；确定这些法律法规及其他要求如何应用于公司以及需沟通传达的内容；在建立、实施、保持和持续改进其质量、环境和职业健康安全管理体系时，将这些法定要求和其他要求纳入考虑。</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公司保持有关适用的法律法规和其他要求的成文信息。</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公司编制了《合规性评价控制程序》，对质量、环境和职业健康安全管理体系履行合规义务的情况进行评价。</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办公室组织各部门每年评价合规义务履行情况，形成合规性评价报告。</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提供2021年10月识别的职业健康安全法律法规清单共34项，环境法律法规清单22项，识别了相关的安全生产法、环境保护法、职业病防治法、消防法、</w:t>
            </w:r>
            <w:r>
              <w:rPr>
                <w:rFonts w:hint="eastAsia" w:ascii="Times New Roman" w:hAnsi="Times New Roman" w:eastAsia="宋体" w:cs="宋体"/>
                <w:color w:val="auto"/>
              </w:rPr>
              <w:t>河北省消防条例</w:t>
            </w:r>
            <w:r>
              <w:rPr>
                <w:rFonts w:hint="eastAsia" w:ascii="Times New Roman" w:hAnsi="Times New Roman" w:eastAsia="宋体" w:cs="宋体"/>
                <w:color w:val="auto"/>
                <w:lang w:val="en-US" w:eastAsia="zh-CN"/>
              </w:rPr>
              <w:t>等，个别法律有失效已与企业进行沟通并整改。</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提供2021年合规性评价报告：结论从总体上讲，公司环境和职业健康安全行为符合相关环境和职业健康安全法规要求，基本实现了组织对遵守法律法规及其他要求的承诺。</w:t>
            </w:r>
          </w:p>
        </w:tc>
        <w:tc>
          <w:tcPr>
            <w:tcW w:w="1585"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tcPr>
          <w:p>
            <w:pPr>
              <w:rPr>
                <w:rFonts w:hint="default" w:ascii="Times New Roman" w:hAnsi="Times New Roman" w:eastAsia="宋体" w:cs="宋体"/>
                <w:color w:val="auto"/>
              </w:rPr>
            </w:pPr>
            <w:r>
              <w:rPr>
                <w:rFonts w:hint="default" w:ascii="Times New Roman" w:hAnsi="Times New Roman" w:eastAsia="宋体" w:cs="宋体"/>
                <w:color w:val="auto"/>
              </w:rPr>
              <w:t>管理评审</w:t>
            </w:r>
          </w:p>
        </w:tc>
        <w:tc>
          <w:tcPr>
            <w:tcW w:w="960" w:type="dxa"/>
          </w:tcPr>
          <w:p>
            <w:pPr>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QEO</w:t>
            </w:r>
          </w:p>
          <w:p>
            <w:pPr>
              <w:rPr>
                <w:rFonts w:hint="default" w:ascii="Times New Roman" w:hAnsi="Times New Roman" w:eastAsia="宋体" w:cs="宋体"/>
                <w:color w:val="auto"/>
                <w:lang w:val="en-US"/>
              </w:rPr>
            </w:pPr>
            <w:r>
              <w:rPr>
                <w:rFonts w:hint="eastAsia" w:ascii="Times New Roman" w:hAnsi="Times New Roman" w:eastAsia="宋体" w:cs="宋体"/>
                <w:color w:val="auto"/>
                <w:lang w:val="en-US" w:eastAsia="zh-CN"/>
              </w:rPr>
              <w:t>9.3</w:t>
            </w:r>
          </w:p>
        </w:tc>
        <w:tc>
          <w:tcPr>
            <w:tcW w:w="10004" w:type="dxa"/>
          </w:tcPr>
          <w:p>
            <w:pPr>
              <w:rPr>
                <w:rFonts w:hint="eastAsia" w:ascii="Times New Roman" w:hAnsi="Times New Roman" w:eastAsia="宋体" w:cs="宋体"/>
                <w:color w:val="auto"/>
              </w:rPr>
            </w:pPr>
            <w:r>
              <w:rPr>
                <w:rFonts w:hint="eastAsia" w:ascii="Times New Roman" w:hAnsi="Times New Roman" w:eastAsia="宋体" w:cs="宋体"/>
                <w:color w:val="auto"/>
              </w:rPr>
              <w:t>提供《管理评审控制程序》，规定了管理评审的目的、范围、实施的频次、具体操作内容等，公司规定每年至少对组织的体系运行情况进行一次评审。</w:t>
            </w:r>
          </w:p>
          <w:p>
            <w:pPr>
              <w:rPr>
                <w:rFonts w:hint="eastAsia" w:ascii="Times New Roman" w:hAnsi="Times New Roman" w:eastAsia="宋体" w:cs="宋体"/>
                <w:color w:val="auto"/>
              </w:rPr>
            </w:pPr>
            <w:r>
              <w:rPr>
                <w:rFonts w:hint="eastAsia" w:ascii="Times New Roman" w:hAnsi="Times New Roman" w:eastAsia="宋体" w:cs="宋体"/>
                <w:color w:val="auto"/>
              </w:rPr>
              <w:t>查《管理评审计划》，编制：</w:t>
            </w:r>
            <w:r>
              <w:rPr>
                <w:rFonts w:hint="eastAsia" w:ascii="Times New Roman" w:hAnsi="Times New Roman" w:eastAsia="宋体" w:cs="宋体"/>
                <w:color w:val="auto"/>
                <w:lang w:val="en-US" w:eastAsia="zh-CN"/>
              </w:rPr>
              <w:t>张义珂</w:t>
            </w:r>
            <w:r>
              <w:rPr>
                <w:rFonts w:hint="eastAsia" w:ascii="Times New Roman" w:hAnsi="Times New Roman" w:eastAsia="宋体" w:cs="宋体"/>
                <w:color w:val="auto"/>
              </w:rPr>
              <w:t xml:space="preserve">    批准：</w:t>
            </w:r>
            <w:r>
              <w:rPr>
                <w:rFonts w:hint="eastAsia" w:ascii="Times New Roman" w:hAnsi="Times New Roman" w:eastAsia="宋体" w:cs="宋体"/>
                <w:color w:val="auto"/>
                <w:lang w:val="en-US" w:eastAsia="zh-CN"/>
              </w:rPr>
              <w:t>郭向乐</w:t>
            </w:r>
            <w:r>
              <w:rPr>
                <w:rFonts w:hint="eastAsia" w:ascii="Times New Roman" w:hAnsi="Times New Roman" w:eastAsia="宋体" w:cs="宋体"/>
                <w:color w:val="auto"/>
              </w:rPr>
              <w:t xml:space="preserve"> 日期：202</w:t>
            </w:r>
            <w:r>
              <w:rPr>
                <w:rFonts w:hint="eastAsia" w:ascii="Times New Roman" w:hAnsi="Times New Roman" w:eastAsia="宋体" w:cs="宋体"/>
                <w:color w:val="auto"/>
                <w:lang w:val="en-US" w:eastAsia="zh-CN"/>
              </w:rPr>
              <w:t>2</w:t>
            </w:r>
            <w:r>
              <w:rPr>
                <w:rFonts w:hint="eastAsia" w:ascii="Times New Roman" w:hAnsi="Times New Roman" w:eastAsia="宋体" w:cs="宋体"/>
                <w:color w:val="auto"/>
              </w:rPr>
              <w:t>年</w:t>
            </w:r>
            <w:r>
              <w:rPr>
                <w:rFonts w:hint="eastAsia" w:ascii="Times New Roman" w:hAnsi="Times New Roman" w:eastAsia="宋体" w:cs="宋体"/>
                <w:color w:val="auto"/>
                <w:lang w:val="en-US" w:eastAsia="zh-CN"/>
              </w:rPr>
              <w:t>2</w:t>
            </w:r>
            <w:r>
              <w:rPr>
                <w:rFonts w:hint="eastAsia" w:ascii="Times New Roman" w:hAnsi="Times New Roman" w:eastAsia="宋体" w:cs="宋体"/>
                <w:color w:val="auto"/>
              </w:rPr>
              <w:t>月</w:t>
            </w:r>
            <w:r>
              <w:rPr>
                <w:rFonts w:hint="eastAsia" w:ascii="Times New Roman" w:hAnsi="Times New Roman" w:eastAsia="宋体" w:cs="宋体"/>
                <w:color w:val="auto"/>
                <w:lang w:val="en-US" w:eastAsia="zh-CN"/>
              </w:rPr>
              <w:t>20</w:t>
            </w:r>
            <w:r>
              <w:rPr>
                <w:rFonts w:hint="eastAsia" w:ascii="Times New Roman" w:hAnsi="Times New Roman" w:eastAsia="宋体" w:cs="宋体"/>
                <w:color w:val="auto"/>
              </w:rPr>
              <w:t>日</w:t>
            </w:r>
          </w:p>
          <w:p>
            <w:pPr>
              <w:rPr>
                <w:rFonts w:hint="eastAsia" w:ascii="Times New Roman" w:hAnsi="Times New Roman" w:eastAsia="宋体" w:cs="宋体"/>
                <w:color w:val="auto"/>
              </w:rPr>
            </w:pPr>
            <w:r>
              <w:rPr>
                <w:rFonts w:hint="eastAsia" w:ascii="Times New Roman" w:hAnsi="Times New Roman" w:eastAsia="宋体" w:cs="宋体"/>
                <w:color w:val="auto"/>
              </w:rPr>
              <w:t>计划明确了管理评审目的、评审范围、时间（202</w:t>
            </w:r>
            <w:r>
              <w:rPr>
                <w:rFonts w:hint="eastAsia" w:ascii="Times New Roman" w:hAnsi="Times New Roman" w:eastAsia="宋体" w:cs="宋体"/>
                <w:color w:val="auto"/>
                <w:lang w:val="en-US" w:eastAsia="zh-CN"/>
              </w:rPr>
              <w:t>2</w:t>
            </w:r>
            <w:r>
              <w:rPr>
                <w:rFonts w:hint="eastAsia" w:ascii="Times New Roman" w:hAnsi="Times New Roman" w:eastAsia="宋体" w:cs="宋体"/>
                <w:color w:val="auto"/>
              </w:rPr>
              <w:t>.</w:t>
            </w:r>
            <w:r>
              <w:rPr>
                <w:rFonts w:hint="eastAsia" w:ascii="Times New Roman" w:hAnsi="Times New Roman" w:eastAsia="宋体" w:cs="宋体"/>
                <w:color w:val="auto"/>
                <w:lang w:val="en-US" w:eastAsia="zh-CN"/>
              </w:rPr>
              <w:t>2.25</w:t>
            </w:r>
            <w:r>
              <w:rPr>
                <w:rFonts w:hint="eastAsia" w:ascii="Times New Roman" w:hAnsi="Times New Roman" w:eastAsia="宋体" w:cs="宋体"/>
                <w:color w:val="auto"/>
              </w:rPr>
              <w:t>）、评审内容、各部门评审准备工作要求等。</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rPr>
              <w:t xml:space="preserve">管理评审内容： </w:t>
            </w:r>
            <w:r>
              <w:rPr>
                <w:rFonts w:hint="eastAsia" w:ascii="Times New Roman" w:hAnsi="Times New Roman" w:eastAsia="宋体" w:cs="宋体"/>
                <w:color w:val="auto"/>
                <w:lang w:val="en-US" w:eastAsia="zh-CN"/>
              </w:rPr>
              <w:t>生技部</w:t>
            </w:r>
            <w:r>
              <w:rPr>
                <w:rFonts w:hint="eastAsia" w:ascii="Times New Roman" w:hAnsi="Times New Roman" w:eastAsia="宋体" w:cs="宋体"/>
                <w:color w:val="auto"/>
              </w:rPr>
              <w:t>负责人</w:t>
            </w:r>
            <w:r>
              <w:rPr>
                <w:rFonts w:hint="eastAsia" w:ascii="Times New Roman" w:hAnsi="Times New Roman" w:eastAsia="宋体" w:cs="宋体"/>
                <w:color w:val="auto"/>
                <w:lang w:eastAsia="zh-CN"/>
              </w:rPr>
              <w:t>、</w:t>
            </w:r>
            <w:r>
              <w:rPr>
                <w:rFonts w:hint="eastAsia" w:ascii="Times New Roman" w:hAnsi="Times New Roman" w:eastAsia="宋体" w:cs="宋体"/>
                <w:color w:val="auto"/>
                <w:lang w:val="en-US" w:eastAsia="zh-CN"/>
              </w:rPr>
              <w:t>办公室负责人、管理者代表、职业健康安全代表等</w:t>
            </w:r>
            <w:r>
              <w:rPr>
                <w:rFonts w:hint="eastAsia" w:ascii="Times New Roman" w:hAnsi="Times New Roman" w:eastAsia="宋体" w:cs="宋体"/>
                <w:color w:val="auto"/>
              </w:rPr>
              <w:t>做</w:t>
            </w:r>
            <w:r>
              <w:rPr>
                <w:rFonts w:hint="eastAsia" w:ascii="Times New Roman" w:hAnsi="Times New Roman" w:eastAsia="宋体" w:cs="宋体"/>
                <w:color w:val="auto"/>
                <w:lang w:val="en-US" w:eastAsia="zh-CN"/>
              </w:rPr>
              <w:t>了体系运行的总结</w:t>
            </w:r>
            <w:r>
              <w:rPr>
                <w:rFonts w:hint="eastAsia" w:ascii="Times New Roman" w:hAnsi="Times New Roman" w:eastAsia="宋体" w:cs="宋体"/>
                <w:color w:val="auto"/>
              </w:rPr>
              <w:t>报告，主要内容包括提供</w:t>
            </w:r>
            <w:r>
              <w:rPr>
                <w:rFonts w:hint="eastAsia" w:ascii="Times New Roman" w:hAnsi="Times New Roman" w:eastAsia="宋体" w:cs="宋体"/>
                <w:color w:val="auto"/>
                <w:lang w:val="en-US" w:eastAsia="zh-CN"/>
              </w:rPr>
              <w:t>管理体系</w:t>
            </w:r>
            <w:r>
              <w:rPr>
                <w:rFonts w:hint="eastAsia" w:ascii="Times New Roman" w:hAnsi="Times New Roman" w:eastAsia="宋体" w:cs="宋体"/>
                <w:color w:val="auto"/>
              </w:rPr>
              <w:t>运行控制及本部门的体系运行情况；</w:t>
            </w:r>
            <w:r>
              <w:rPr>
                <w:rFonts w:hint="eastAsia" w:ascii="Times New Roman" w:hAnsi="Times New Roman" w:eastAsia="宋体" w:cs="宋体"/>
                <w:color w:val="auto"/>
                <w:lang w:val="en-US" w:eastAsia="zh-CN"/>
              </w:rPr>
              <w:t>目标指标的完成情况；法律法规及合规性评价、顾客满意率、体系</w:t>
            </w:r>
            <w:r>
              <w:rPr>
                <w:rFonts w:hint="eastAsia" w:ascii="Times New Roman" w:hAnsi="Times New Roman" w:eastAsia="宋体" w:cs="宋体"/>
                <w:color w:val="auto"/>
              </w:rPr>
              <w:t>绩效及目前存在的问题和改进建议</w:t>
            </w:r>
            <w:r>
              <w:rPr>
                <w:rFonts w:hint="eastAsia" w:ascii="Times New Roman" w:hAnsi="Times New Roman" w:eastAsia="宋体" w:cs="宋体"/>
                <w:color w:val="auto"/>
                <w:lang w:val="en-US" w:eastAsia="zh-CN"/>
              </w:rPr>
              <w:t>等</w:t>
            </w:r>
            <w:r>
              <w:rPr>
                <w:rFonts w:hint="eastAsia" w:ascii="Times New Roman" w:hAnsi="Times New Roman" w:eastAsia="宋体" w:cs="宋体"/>
                <w:color w:val="auto"/>
              </w:rPr>
              <w:t>。与会人员对目前存在的问题、公司管理方针和目标和管理方案的适宜性展开讨论。</w:t>
            </w:r>
          </w:p>
          <w:p>
            <w:pPr>
              <w:rPr>
                <w:rFonts w:hint="eastAsia" w:ascii="Times New Roman" w:hAnsi="Times New Roman" w:eastAsia="宋体" w:cs="宋体"/>
                <w:color w:val="auto"/>
              </w:rPr>
            </w:pPr>
            <w:r>
              <w:rPr>
                <w:rFonts w:hint="eastAsia" w:ascii="Times New Roman" w:hAnsi="Times New Roman" w:eastAsia="宋体" w:cs="宋体"/>
                <w:color w:val="auto"/>
              </w:rPr>
              <w:t>查《管理评审报告》，记录了：评审目的、评审范围、评审依据、评审内容，评审参加人员、评审结论、改进建议等，评审内容包括了认证标准和规范要求的全部内容。</w:t>
            </w:r>
          </w:p>
          <w:p>
            <w:pPr>
              <w:rPr>
                <w:rFonts w:hint="eastAsia" w:ascii="Times New Roman" w:hAnsi="Times New Roman" w:eastAsia="宋体" w:cs="宋体"/>
                <w:color w:val="auto"/>
              </w:rPr>
            </w:pPr>
            <w:r>
              <w:rPr>
                <w:rFonts w:hint="eastAsia" w:ascii="Times New Roman" w:hAnsi="Times New Roman" w:eastAsia="宋体" w:cs="宋体"/>
                <w:color w:val="auto"/>
              </w:rPr>
              <w:t>评审结论：公司已按照GB/T19001-2016、GB/T24001-2016、</w:t>
            </w:r>
            <w:r>
              <w:rPr>
                <w:rFonts w:hint="eastAsia" w:ascii="Times New Roman" w:hAnsi="Times New Roman" w:eastAsia="宋体" w:cs="宋体"/>
                <w:color w:val="auto"/>
                <w:lang w:eastAsia="zh-CN"/>
              </w:rPr>
              <w:t>GB/T45001-2020</w:t>
            </w:r>
            <w:r>
              <w:rPr>
                <w:rFonts w:hint="eastAsia" w:ascii="Times New Roman" w:hAnsi="Times New Roman" w:eastAsia="宋体" w:cs="宋体"/>
                <w:color w:val="auto"/>
              </w:rPr>
              <w:t>标准建立了符合本公司实际的管理体系，体系是持续适宜的、充分的和有效的。基本能够得到实施和保持。方针、目标和指标是适应的，正在通过体系的运行不断实现。</w:t>
            </w:r>
          </w:p>
          <w:p>
            <w:pPr>
              <w:rPr>
                <w:rFonts w:hint="eastAsia" w:ascii="Times New Roman" w:hAnsi="Times New Roman" w:eastAsia="宋体" w:cs="宋体"/>
                <w:color w:val="auto"/>
              </w:rPr>
            </w:pPr>
            <w:r>
              <w:rPr>
                <w:rFonts w:hint="eastAsia" w:ascii="Times New Roman" w:hAnsi="Times New Roman" w:eastAsia="宋体" w:cs="宋体"/>
                <w:color w:val="auto"/>
              </w:rPr>
              <w:t>通过本次管理评审，确保了质量、环境和职业健康安全方针、目标和管理体系持续的适宜性、充分性和有效性，达到了持续改进的目的，为下一步外审工作奠定了良好的基础。</w:t>
            </w:r>
          </w:p>
          <w:p>
            <w:pPr>
              <w:rPr>
                <w:rFonts w:hint="eastAsia" w:ascii="Times New Roman" w:hAnsi="Times New Roman" w:eastAsia="宋体" w:cs="宋体"/>
                <w:color w:val="auto"/>
              </w:rPr>
            </w:pPr>
            <w:r>
              <w:rPr>
                <w:rFonts w:hint="eastAsia" w:ascii="Times New Roman" w:hAnsi="Times New Roman" w:eastAsia="宋体" w:cs="宋体"/>
                <w:color w:val="auto"/>
              </w:rPr>
              <w:t>管理评审决议：1、质量、环境、职业健康安全管理体系及其过程有效性的改进；公司管理方针和目标保持不变，各部门注意加强</w:t>
            </w:r>
            <w:r>
              <w:rPr>
                <w:rFonts w:hint="eastAsia" w:ascii="Times New Roman" w:hAnsi="Times New Roman" w:eastAsia="宋体" w:cs="宋体"/>
                <w:color w:val="auto"/>
                <w:lang w:eastAsia="zh-CN"/>
              </w:rPr>
              <w:t>新</w:t>
            </w:r>
            <w:r>
              <w:rPr>
                <w:rFonts w:hint="eastAsia" w:ascii="Times New Roman" w:hAnsi="Times New Roman" w:eastAsia="宋体" w:cs="宋体"/>
                <w:color w:val="auto"/>
              </w:rPr>
              <w:t>版标准文件学习，持续改进体系的符合性和有效性。</w:t>
            </w:r>
          </w:p>
          <w:p>
            <w:pPr>
              <w:rPr>
                <w:rFonts w:hint="eastAsia" w:ascii="Times New Roman" w:hAnsi="Times New Roman" w:eastAsia="宋体" w:cs="宋体"/>
                <w:color w:val="auto"/>
              </w:rPr>
            </w:pPr>
            <w:r>
              <w:rPr>
                <w:rFonts w:hint="eastAsia" w:ascii="Times New Roman" w:hAnsi="Times New Roman" w:eastAsia="宋体" w:cs="宋体"/>
                <w:color w:val="auto"/>
              </w:rPr>
              <w:t>2、与顾客要求有关的产品的改进</w:t>
            </w:r>
            <w:r>
              <w:rPr>
                <w:rFonts w:hint="eastAsia" w:ascii="Times New Roman" w:hAnsi="Times New Roman" w:eastAsia="宋体" w:cs="宋体"/>
                <w:color w:val="auto"/>
                <w:lang w:eastAsia="zh-CN"/>
              </w:rPr>
              <w:t>；</w:t>
            </w:r>
            <w:r>
              <w:rPr>
                <w:rFonts w:hint="eastAsia" w:ascii="Times New Roman" w:hAnsi="Times New Roman" w:eastAsia="宋体" w:cs="宋体"/>
                <w:color w:val="auto"/>
              </w:rPr>
              <w:t>强化服务意识和规范，加强对过程检查，对不合格输出采取有效的纠正或纠正措施；</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并提供了培训文件等，符合要求。</w:t>
            </w:r>
          </w:p>
        </w:tc>
        <w:tc>
          <w:tcPr>
            <w:tcW w:w="1585"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tcPr>
          <w:p>
            <w:pPr>
              <w:rPr>
                <w:rFonts w:hint="default" w:ascii="Times New Roman" w:hAnsi="Times New Roman" w:eastAsia="宋体" w:cs="宋体"/>
                <w:color w:val="auto"/>
              </w:rPr>
            </w:pPr>
            <w:r>
              <w:rPr>
                <w:rFonts w:hint="default" w:ascii="Times New Roman" w:hAnsi="Times New Roman" w:eastAsia="宋体" w:cs="宋体"/>
                <w:color w:val="auto"/>
              </w:rPr>
              <w:t>总则；持续改进；</w:t>
            </w:r>
          </w:p>
          <w:p>
            <w:pPr>
              <w:rPr>
                <w:rFonts w:hint="default" w:ascii="Times New Roman" w:hAnsi="Times New Roman" w:eastAsia="宋体" w:cs="宋体"/>
                <w:color w:val="auto"/>
              </w:rPr>
            </w:pPr>
          </w:p>
        </w:tc>
        <w:tc>
          <w:tcPr>
            <w:tcW w:w="960" w:type="dxa"/>
          </w:tcPr>
          <w:p>
            <w:pPr>
              <w:rPr>
                <w:rFonts w:hint="default" w:ascii="Times New Roman" w:hAnsi="Times New Roman" w:eastAsia="宋体" w:cs="宋体"/>
                <w:color w:val="auto"/>
                <w:lang w:val="en-US" w:eastAsia="zh-CN"/>
              </w:rPr>
            </w:pPr>
            <w:r>
              <w:rPr>
                <w:rFonts w:hint="default" w:ascii="Times New Roman" w:hAnsi="Times New Roman" w:eastAsia="宋体" w:cs="宋体"/>
                <w:color w:val="auto"/>
                <w:lang w:val="en-US" w:eastAsia="zh-CN"/>
              </w:rPr>
              <w:t>QEO</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10.1/</w:t>
            </w:r>
          </w:p>
          <w:p>
            <w:pPr>
              <w:rPr>
                <w:rFonts w:hint="default" w:ascii="Times New Roman" w:hAnsi="Times New Roman" w:eastAsia="宋体" w:cs="宋体"/>
                <w:color w:val="auto"/>
                <w:lang w:val="en-US"/>
              </w:rPr>
            </w:pPr>
            <w:r>
              <w:rPr>
                <w:rFonts w:hint="eastAsia" w:ascii="Times New Roman" w:hAnsi="Times New Roman" w:eastAsia="宋体" w:cs="宋体"/>
                <w:color w:val="auto"/>
                <w:lang w:val="en-US" w:eastAsia="zh-CN"/>
              </w:rPr>
              <w:t>10.3</w:t>
            </w:r>
          </w:p>
        </w:tc>
        <w:tc>
          <w:tcPr>
            <w:tcW w:w="10004" w:type="dxa"/>
          </w:tcPr>
          <w:p>
            <w:pPr>
              <w:rPr>
                <w:rFonts w:hint="eastAsia" w:ascii="Times New Roman" w:hAnsi="Times New Roman" w:eastAsia="宋体" w:cs="宋体"/>
                <w:color w:val="auto"/>
              </w:rPr>
            </w:pPr>
            <w:r>
              <w:rPr>
                <w:rFonts w:hint="eastAsia" w:ascii="Times New Roman" w:hAnsi="Times New Roman" w:eastAsia="宋体" w:cs="宋体"/>
                <w:color w:val="auto"/>
              </w:rPr>
              <w:t xml:space="preserve">公司确定并选择改进机会，采取必要措施，满足顾客要求和增强顾客满意。包括：改进产品和服务以满足要求并关注未来的需求和期望；纠正、预防或减少不利影响；改进质量、环境、职业健康安全管理体系的绩效和有效性。 </w:t>
            </w:r>
          </w:p>
          <w:p>
            <w:pPr>
              <w:rPr>
                <w:rFonts w:hint="eastAsia" w:ascii="Times New Roman" w:hAnsi="Times New Roman" w:eastAsia="宋体" w:cs="宋体"/>
                <w:color w:val="auto"/>
              </w:rPr>
            </w:pPr>
            <w:r>
              <w:rPr>
                <w:rFonts w:hint="eastAsia" w:ascii="Times New Roman" w:hAnsi="Times New Roman" w:eastAsia="宋体" w:cs="宋体"/>
                <w:color w:val="auto"/>
              </w:rPr>
              <w:t>公司通过以下方式，持续改进质量、环境和职业健康安全管理体系的适宜性、充分性与有效性：</w:t>
            </w:r>
          </w:p>
          <w:p>
            <w:pPr>
              <w:rPr>
                <w:rFonts w:hint="eastAsia" w:ascii="Times New Roman" w:hAnsi="Times New Roman" w:eastAsia="宋体" w:cs="宋体"/>
                <w:color w:val="auto"/>
              </w:rPr>
            </w:pPr>
            <w:r>
              <w:rPr>
                <w:rFonts w:hint="eastAsia" w:ascii="Times New Roman" w:hAnsi="Times New Roman" w:eastAsia="宋体" w:cs="宋体"/>
                <w:color w:val="auto"/>
              </w:rPr>
              <w:t>提升质量、环境和职业健康安全管理绩效；促进支持质量、环境和职业健康安全管理管理体系的文化；促进工作人员参与实施持续改进质量、环境和职业健康安全管理管理体系的措施；</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rPr>
              <w:t>将相关持续改进的结果沟通给工作人员和其代表；保持和保留作为持续改进证据的文件化信息。</w:t>
            </w:r>
          </w:p>
        </w:tc>
        <w:tc>
          <w:tcPr>
            <w:tcW w:w="1585"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160" w:type="dxa"/>
          </w:tcPr>
          <w:p>
            <w:pPr>
              <w:rPr>
                <w:rFonts w:hint="default" w:ascii="Times New Roman" w:hAnsi="Times New Roman" w:eastAsia="宋体" w:cs="宋体"/>
                <w:color w:val="auto"/>
              </w:rPr>
            </w:pPr>
            <w:r>
              <w:rPr>
                <w:rFonts w:hint="eastAsia" w:ascii="Times New Roman" w:hAnsi="Times New Roman" w:eastAsia="宋体" w:cs="宋体"/>
                <w:color w:val="auto"/>
                <w:lang w:val="en-US" w:eastAsia="zh-CN"/>
              </w:rPr>
              <w:t>范围的确认、资质的确认、法律法规执行情况、质量抽查及顾客投诉情况、一阶段不符合验证</w:t>
            </w:r>
          </w:p>
        </w:tc>
        <w:tc>
          <w:tcPr>
            <w:tcW w:w="960" w:type="dxa"/>
          </w:tcPr>
          <w:p>
            <w:pPr>
              <w:rPr>
                <w:rFonts w:hint="eastAsia" w:ascii="Times New Roman" w:hAnsi="Times New Roman" w:eastAsia="宋体" w:cs="宋体"/>
                <w:color w:val="auto"/>
              </w:rPr>
            </w:pPr>
          </w:p>
        </w:tc>
        <w:tc>
          <w:tcPr>
            <w:tcW w:w="10004"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本次审核范围确定：</w:t>
            </w:r>
          </w:p>
          <w:p>
            <w:pPr>
              <w:rPr>
                <w:rFonts w:hint="eastAsia" w:ascii="Times New Roman" w:hAnsi="Times New Roman" w:eastAsia="宋体" w:cs="宋体"/>
                <w:color w:val="auto"/>
              </w:rPr>
            </w:pPr>
            <w:r>
              <w:rPr>
                <w:rFonts w:hint="eastAsia" w:ascii="Times New Roman" w:hAnsi="Times New Roman" w:eastAsia="宋体" w:cs="宋体"/>
                <w:color w:val="auto"/>
              </w:rPr>
              <w:t>Q：钢木、钢制办公家具的生产</w:t>
            </w:r>
          </w:p>
          <w:p>
            <w:pPr>
              <w:rPr>
                <w:rFonts w:hint="eastAsia" w:ascii="Times New Roman" w:hAnsi="Times New Roman" w:eastAsia="宋体" w:cs="宋体"/>
                <w:color w:val="auto"/>
              </w:rPr>
            </w:pPr>
            <w:r>
              <w:rPr>
                <w:rFonts w:hint="eastAsia" w:ascii="Times New Roman" w:hAnsi="Times New Roman" w:eastAsia="宋体" w:cs="宋体"/>
                <w:color w:val="auto"/>
              </w:rPr>
              <w:t>E：钢木、钢制办公家具的生产所涉及场所的相关环境管理活动</w:t>
            </w:r>
          </w:p>
          <w:p>
            <w:pPr>
              <w:rPr>
                <w:rFonts w:hint="eastAsia" w:ascii="Times New Roman" w:hAnsi="Times New Roman" w:eastAsia="宋体" w:cs="宋体"/>
                <w:color w:val="auto"/>
              </w:rPr>
            </w:pPr>
            <w:r>
              <w:rPr>
                <w:rFonts w:hint="eastAsia" w:ascii="Times New Roman" w:hAnsi="Times New Roman" w:eastAsia="宋体" w:cs="宋体"/>
                <w:color w:val="auto"/>
              </w:rPr>
              <w:t>O：钢木、钢制办公家具的生产所涉及场所的相关职业健康安全管理活动</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企业资质确认：提供营业执照，符合要求</w:t>
            </w:r>
          </w:p>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法律法规执行情况：符合法律法规要求，具体内容见9.1.2条款审核记录</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质量抽查及顾客投诉情况：无</w:t>
            </w:r>
          </w:p>
          <w:p>
            <w:pPr>
              <w:rPr>
                <w:rFonts w:hint="default" w:ascii="Times New Roman" w:hAnsi="Times New Roman" w:eastAsia="宋体" w:cs="宋体"/>
                <w:color w:val="auto"/>
                <w:lang w:val="en-US" w:eastAsia="zh-CN"/>
              </w:rPr>
            </w:pPr>
            <w:r>
              <w:rPr>
                <w:rFonts w:hint="eastAsia" w:ascii="Times New Roman" w:hAnsi="Times New Roman" w:eastAsia="宋体" w:cs="宋体"/>
                <w:color w:val="auto"/>
                <w:lang w:val="en-US" w:eastAsia="zh-CN"/>
              </w:rPr>
              <w:t>一阶段不符合验证：一阶段未提出问题</w:t>
            </w:r>
          </w:p>
        </w:tc>
        <w:tc>
          <w:tcPr>
            <w:tcW w:w="1585" w:type="dxa"/>
          </w:tcPr>
          <w:p>
            <w:pPr>
              <w:rPr>
                <w:rFonts w:hint="eastAsia" w:ascii="Times New Roman" w:hAnsi="Times New Roman" w:eastAsia="宋体" w:cs="宋体"/>
                <w:color w:val="auto"/>
                <w:lang w:val="en-US" w:eastAsia="zh-CN"/>
              </w:rPr>
            </w:pPr>
            <w:r>
              <w:rPr>
                <w:rFonts w:hint="eastAsia" w:ascii="Times New Roman" w:hAnsi="Times New Roman" w:eastAsia="宋体" w:cs="宋体"/>
                <w:color w:val="auto"/>
                <w:lang w:val="en-US" w:eastAsia="zh-CN"/>
              </w:rPr>
              <w:t>y</w:t>
            </w:r>
          </w:p>
        </w:tc>
      </w:tr>
    </w:tbl>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bookmarkStart w:id="4" w:name="_GoBack"/>
      <w:bookmarkEnd w:id="4"/>
    </w:p>
    <w:p>
      <w:pPr>
        <w:pStyle w:val="4"/>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1225"/>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895" w:type="dxa"/>
            <w:vMerge w:val="restart"/>
            <w:vAlign w:val="center"/>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过程与活动、</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抽样计划</w:t>
            </w:r>
          </w:p>
        </w:tc>
        <w:tc>
          <w:tcPr>
            <w:tcW w:w="1225" w:type="dxa"/>
            <w:vMerge w:val="restart"/>
            <w:vAlign w:val="center"/>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涉及</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条款</w:t>
            </w:r>
          </w:p>
        </w:tc>
        <w:tc>
          <w:tcPr>
            <w:tcW w:w="10004" w:type="dxa"/>
            <w:vAlign w:val="center"/>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受审核部门：办公室         主管领导：张义珂          陪同人员：</w:t>
            </w:r>
            <w:r>
              <w:rPr>
                <w:rFonts w:hint="eastAsia"/>
                <w:sz w:val="24"/>
                <w:szCs w:val="24"/>
                <w:lang w:val="en-US" w:eastAsia="zh-CN"/>
              </w:rPr>
              <w:t>武延其</w:t>
            </w:r>
          </w:p>
        </w:tc>
        <w:tc>
          <w:tcPr>
            <w:tcW w:w="1585" w:type="dxa"/>
            <w:vMerge w:val="restart"/>
            <w:vAlign w:val="center"/>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895" w:type="dxa"/>
            <w:vMerge w:val="continue"/>
            <w:vAlign w:val="center"/>
          </w:tcPr>
          <w:p>
            <w:pPr>
              <w:pStyle w:val="2"/>
              <w:rPr>
                <w:rFonts w:hint="eastAsia" w:ascii="Times New Roman" w:hAnsi="Times New Roman" w:eastAsia="宋体" w:cs="Times New Roman"/>
                <w:sz w:val="21"/>
                <w:szCs w:val="21"/>
                <w:lang w:val="en-US" w:eastAsia="zh-CN"/>
              </w:rPr>
            </w:pPr>
          </w:p>
        </w:tc>
        <w:tc>
          <w:tcPr>
            <w:tcW w:w="1225" w:type="dxa"/>
            <w:vMerge w:val="continue"/>
            <w:vAlign w:val="center"/>
          </w:tcPr>
          <w:p>
            <w:pPr>
              <w:pStyle w:val="2"/>
              <w:rPr>
                <w:rFonts w:hint="eastAsia" w:ascii="Times New Roman" w:hAnsi="Times New Roman" w:eastAsia="宋体" w:cs="Times New Roman"/>
                <w:sz w:val="21"/>
                <w:szCs w:val="21"/>
                <w:lang w:val="en-US" w:eastAsia="zh-CN"/>
              </w:rPr>
            </w:pPr>
          </w:p>
        </w:tc>
        <w:tc>
          <w:tcPr>
            <w:tcW w:w="10004" w:type="dxa"/>
            <w:vAlign w:val="center"/>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审核员：李丽英             审核时间：2022年03月30日 --2022年03月31日</w:t>
            </w:r>
          </w:p>
        </w:tc>
        <w:tc>
          <w:tcPr>
            <w:tcW w:w="1585" w:type="dxa"/>
            <w:vMerge w:val="continue"/>
          </w:tcPr>
          <w:p>
            <w:pPr>
              <w:pStyle w:val="2"/>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895" w:type="dxa"/>
            <w:vMerge w:val="continue"/>
            <w:vAlign w:val="center"/>
          </w:tcPr>
          <w:p>
            <w:pPr>
              <w:pStyle w:val="2"/>
              <w:rPr>
                <w:rFonts w:hint="eastAsia" w:ascii="Times New Roman" w:hAnsi="Times New Roman" w:eastAsia="宋体" w:cs="Times New Roman"/>
                <w:sz w:val="21"/>
                <w:szCs w:val="21"/>
                <w:lang w:val="en-US" w:eastAsia="zh-CN"/>
              </w:rPr>
            </w:pPr>
          </w:p>
        </w:tc>
        <w:tc>
          <w:tcPr>
            <w:tcW w:w="1225" w:type="dxa"/>
            <w:vMerge w:val="continue"/>
            <w:vAlign w:val="center"/>
          </w:tcPr>
          <w:p>
            <w:pPr>
              <w:pStyle w:val="2"/>
              <w:rPr>
                <w:rFonts w:hint="eastAsia" w:ascii="Times New Roman" w:hAnsi="Times New Roman" w:eastAsia="宋体" w:cs="Times New Roman"/>
                <w:sz w:val="21"/>
                <w:szCs w:val="21"/>
                <w:lang w:val="en-US" w:eastAsia="zh-CN"/>
              </w:rPr>
            </w:pPr>
          </w:p>
        </w:tc>
        <w:tc>
          <w:tcPr>
            <w:tcW w:w="10004" w:type="dxa"/>
            <w:vAlign w:val="center"/>
          </w:tcPr>
          <w:p>
            <w:pPr>
              <w:pStyle w:val="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审核条款：</w:t>
            </w:r>
            <w:r>
              <w:rPr>
                <w:rFonts w:hint="default" w:ascii="Times New Roman" w:hAnsi="Times New Roman" w:eastAsia="宋体" w:cs="Times New Roman"/>
                <w:sz w:val="21"/>
                <w:szCs w:val="21"/>
                <w:lang w:val="en-US" w:eastAsia="zh-CN"/>
              </w:rPr>
              <w:t>Q5.3/</w:t>
            </w:r>
            <w:r>
              <w:rPr>
                <w:rFonts w:hint="eastAsia" w:ascii="Times New Roman" w:hAnsi="Times New Roman" w:eastAsia="宋体" w:cs="Times New Roman"/>
                <w:sz w:val="21"/>
                <w:szCs w:val="21"/>
                <w:lang w:val="en-US" w:eastAsia="zh-CN"/>
              </w:rPr>
              <w:t>9.1.1/9.1.3/</w:t>
            </w:r>
            <w:r>
              <w:rPr>
                <w:rFonts w:hint="default" w:ascii="Times New Roman" w:hAnsi="Times New Roman" w:eastAsia="宋体" w:cs="Times New Roman"/>
                <w:sz w:val="21"/>
                <w:szCs w:val="21"/>
                <w:lang w:val="en-US" w:eastAsia="zh-CN"/>
              </w:rPr>
              <w:t>9.2/10.2</w:t>
            </w:r>
          </w:p>
          <w:p>
            <w:pPr>
              <w:pStyle w:val="2"/>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w:t>
            </w:r>
            <w:r>
              <w:rPr>
                <w:rFonts w:hint="eastAsia"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lang w:val="en-US" w:eastAsia="zh-CN"/>
              </w:rPr>
              <w:t>5.3/</w:t>
            </w:r>
            <w:r>
              <w:rPr>
                <w:rFonts w:hint="eastAsia" w:ascii="Times New Roman" w:hAnsi="Times New Roman" w:eastAsia="宋体" w:cs="Times New Roman"/>
                <w:sz w:val="21"/>
                <w:szCs w:val="21"/>
                <w:lang w:val="en-US" w:eastAsia="zh-CN"/>
              </w:rPr>
              <w:t>6.1.2/9.1.1/</w:t>
            </w:r>
            <w:r>
              <w:rPr>
                <w:rFonts w:hint="default" w:ascii="Times New Roman" w:hAnsi="Times New Roman" w:eastAsia="宋体" w:cs="Times New Roman"/>
                <w:sz w:val="21"/>
                <w:szCs w:val="21"/>
                <w:lang w:val="en-US" w:eastAsia="zh-CN"/>
              </w:rPr>
              <w:t>9.2/10.2</w:t>
            </w:r>
            <w:r>
              <w:rPr>
                <w:rFonts w:hint="eastAsia" w:ascii="Times New Roman" w:hAnsi="Times New Roman" w:eastAsia="宋体" w:cs="Times New Roman"/>
                <w:sz w:val="21"/>
                <w:szCs w:val="21"/>
                <w:lang w:val="en-US" w:eastAsia="zh-CN"/>
              </w:rPr>
              <w:t>；</w:t>
            </w:r>
          </w:p>
        </w:tc>
        <w:tc>
          <w:tcPr>
            <w:tcW w:w="1585" w:type="dxa"/>
            <w:vMerge w:val="continue"/>
          </w:tcPr>
          <w:p>
            <w:pPr>
              <w:pStyle w:val="2"/>
              <w:rPr>
                <w:rFonts w:hint="eastAsia" w:ascii="Times New Roman" w:hAnsi="Times New Roman" w:eastAsia="宋体" w:cs="Times New Roman"/>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岗位职责、权限</w:t>
            </w:r>
          </w:p>
        </w:tc>
        <w:tc>
          <w:tcPr>
            <w:tcW w:w="1225" w:type="dxa"/>
          </w:tcPr>
          <w:p>
            <w:pPr>
              <w:pStyle w:val="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QEO5.3</w:t>
            </w:r>
          </w:p>
        </w:tc>
        <w:tc>
          <w:tcPr>
            <w:tcW w:w="10004" w:type="dxa"/>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办公室部门负责人：张义珂</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李经理介绍，办公室主要负责：体系贯标管理，综合行政管理，人力资源管理，采购管理，业务管理，售后服务管理，财务管理等工作</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职责明确，回答基本完整。</w:t>
            </w:r>
          </w:p>
        </w:tc>
        <w:tc>
          <w:tcPr>
            <w:tcW w:w="1585" w:type="dxa"/>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895" w:type="dxa"/>
            <w:vAlign w:val="top"/>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环境因素、危险源识别</w:t>
            </w:r>
          </w:p>
        </w:tc>
        <w:tc>
          <w:tcPr>
            <w:tcW w:w="1225" w:type="dxa"/>
            <w:vAlign w:val="top"/>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EO6.1.2</w:t>
            </w:r>
          </w:p>
        </w:tc>
        <w:tc>
          <w:tcPr>
            <w:tcW w:w="10004" w:type="dxa"/>
            <w:vAlign w:val="top"/>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查企业编制了《环境因素识别与评价控制程序》《危险源识别及风险评价控制程序》，用于识别和控制与各过程相关的环境因素和危险源。</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提供了《环境因素识别评价表》，办公室的环境因素主要包括：办公过程的电脑使用、空调的能源消耗，办公纸张的浪费、生活用水、电资源的消耗、电源线路老化、漏电或其他原因导致火灾的发生、生活废水、生活垃圾、废弃的防疫物资等；消防演练过程的灭其使用、演练过程的废弃物污染土壤等；重要环境因素的评价方法为判断法，编制了《重要环境因素清单》，识别重要环境因素4项</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1、固体废弃物排放</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2电源线路老化、漏电或其他原因导致潜在火灾的发生</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3噪声的排放</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4废气的排放</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sym w:font="Wingdings 2" w:char="F098"/>
            </w:r>
            <w:r>
              <w:rPr>
                <w:rFonts w:hint="eastAsia" w:ascii="Times New Roman" w:hAnsi="Times New Roman" w:eastAsia="宋体" w:cs="Times New Roman"/>
                <w:sz w:val="21"/>
                <w:szCs w:val="21"/>
                <w:lang w:val="en-US" w:eastAsia="zh-CN"/>
              </w:rPr>
              <w:t>提供《危险源辨识评价表》，办公室涉及到的危险源包括：电脑辐射、触电危险、电气火灾、劳保用品防护不到位的风险、新冠病毒感染、驾驶外出的交通风险、办公过程的烫伤、辐射触电等的风险，采用LEC定量评价法评估出不可接受风险，编制了《不可接受风险清单》，不可接受风险为：1潜在火灾、爆炸2机械伤害3触电伤害4噪声伤害</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对识别出的重要环境因素和不可接受风险，均制定了相应的管理措施如废弃物管理办法、应急预案、培训、演练、设备操作规程、定期检查等。</w:t>
            </w:r>
          </w:p>
        </w:tc>
        <w:tc>
          <w:tcPr>
            <w:tcW w:w="1585" w:type="dxa"/>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895" w:type="dxa"/>
          </w:tcPr>
          <w:p>
            <w:pPr>
              <w:pStyle w:val="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监视和测量</w:t>
            </w:r>
          </w:p>
        </w:tc>
        <w:tc>
          <w:tcPr>
            <w:tcW w:w="1225" w:type="dxa"/>
          </w:tcPr>
          <w:p>
            <w:pPr>
              <w:pStyle w:val="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QEO9.1.1</w:t>
            </w:r>
          </w:p>
        </w:tc>
        <w:tc>
          <w:tcPr>
            <w:tcW w:w="10004" w:type="dxa"/>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编制了《监视与测量控制程序》，通过以下几种方式对运行过程绩效进行监视和测量：</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●该公司对管理体系过程进行监视和测量的方法包括：内审、管理评审、目标考核、过程的监视和测量检查等。</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内审、管理评审、目标考核详见9.2/9.3/6.2的审核记录.</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每季度进行一次过程的监视和测量的检查，发现问题立即整改。</w:t>
            </w:r>
          </w:p>
          <w:p>
            <w:pPr>
              <w:pStyle w:val="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查见《管理体系运行检查和监督记录》，内容包括：部门、检查内容、检查结果、检查人、检查日期。抽2022年3月份检查情况，均符合要求。</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●日常监督检查：管代负责对各部门的行为进行不定期的巡检。巡检内容包括：办公现场管理情况、防护用品的使用情况、消防设施状况等。对发现的问题提出整改要求，责任部门整改，办公室验证整改效果。</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●环境绩效监测：</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办公区卫生间废水排入城市管网。</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一般固废（废纸张等），车间下脚料，按规定收集，卖给废品收购站。废弃防疫物资设置了专用垃圾桶回收，废弃的灯管，墨盒交由办公用品提供商回收。</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被动监测：自体系建立以来没有发生过环境污染事故</w:t>
            </w:r>
          </w:p>
          <w:p>
            <w:pPr>
              <w:pStyle w:val="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提供了环境影响评估报告表，环境《检测报告》，编号：GS-WT2021042804，检测内容：有组织废气、无组织废气、噪声，报告日期：2021年5月20日，排放达标。</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●职业健康安全监测：</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主动监测：职业健康安全目标指标：已完成。</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自体系建立以来没有发生过安全事故。</w:t>
            </w:r>
          </w:p>
          <w:p>
            <w:pPr>
              <w:pStyle w:val="2"/>
              <w:rPr>
                <w:rFonts w:hint="default" w:ascii="Times New Roman" w:hAnsi="Times New Roman" w:eastAsia="宋体" w:cs="Times New Roman"/>
                <w:b/>
                <w:bCs w:val="0"/>
                <w:sz w:val="21"/>
                <w:szCs w:val="21"/>
                <w:lang w:val="en-US" w:eastAsia="zh-CN"/>
              </w:rPr>
            </w:pPr>
            <w:r>
              <w:rPr>
                <w:rFonts w:hint="eastAsia" w:ascii="Times New Roman" w:hAnsi="Times New Roman" w:eastAsia="宋体" w:cs="Times New Roman"/>
                <w:sz w:val="21"/>
                <w:szCs w:val="21"/>
                <w:lang w:val="en-US" w:eastAsia="zh-CN"/>
              </w:rPr>
              <w:t>但</w:t>
            </w:r>
            <w:r>
              <w:rPr>
                <w:rFonts w:hint="eastAsia" w:ascii="Times New Roman" w:hAnsi="Times New Roman" w:eastAsia="宋体" w:cs="Times New Roman"/>
                <w:b/>
                <w:bCs w:val="0"/>
                <w:sz w:val="21"/>
                <w:szCs w:val="21"/>
                <w:lang w:val="en-US" w:eastAsia="zh-CN"/>
              </w:rPr>
              <w:t>未提供人员体检的证据。--不符合</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●监测设备：公司暂无环境、职业健康安全监测设备。</w:t>
            </w:r>
          </w:p>
        </w:tc>
        <w:tc>
          <w:tcPr>
            <w:tcW w:w="1585" w:type="dxa"/>
          </w:tcPr>
          <w:p>
            <w:pPr>
              <w:pStyle w:val="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5" w:type="dxa"/>
            <w:vAlign w:val="top"/>
          </w:tcPr>
          <w:p>
            <w:pPr>
              <w:pStyle w:val="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内部审核</w:t>
            </w:r>
          </w:p>
        </w:tc>
        <w:tc>
          <w:tcPr>
            <w:tcW w:w="1225" w:type="dxa"/>
          </w:tcPr>
          <w:p>
            <w:pPr>
              <w:pStyle w:val="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QEO9.2</w:t>
            </w:r>
          </w:p>
        </w:tc>
        <w:tc>
          <w:tcPr>
            <w:tcW w:w="10004" w:type="dxa"/>
            <w:vAlign w:val="top"/>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●执行《内部审核控制程序》，对内部审核方案策划规定：内审每年进行一次，按部门/过程审核。管代介绍内审的安排和做法，与程序文件“内部审核程序”相符。现场询问管代，参与了内部审核。</w:t>
            </w:r>
            <w:r>
              <w:rPr>
                <w:rFonts w:hint="eastAsia" w:ascii="Times New Roman" w:hAnsi="Times New Roman" w:eastAsia="宋体" w:cs="Times New Roman"/>
                <w:sz w:val="21"/>
                <w:szCs w:val="21"/>
                <w:lang w:val="en-US" w:eastAsia="zh-CN"/>
              </w:rPr>
              <w:br w:type="textWrapping"/>
            </w:r>
            <w:r>
              <w:rPr>
                <w:rFonts w:hint="eastAsia" w:ascii="Times New Roman" w:hAnsi="Times New Roman" w:eastAsia="宋体" w:cs="Times New Roman"/>
                <w:sz w:val="21"/>
                <w:szCs w:val="21"/>
                <w:lang w:val="en-US" w:eastAsia="zh-CN"/>
              </w:rPr>
              <w:t>●查内审：</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提供了《2022年度内审计划》 ，组长郭向乐，内审员张义珂，计划涉及了所有部门及相关过程。</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提供了《内部审核实施计划》，计划编制合理，无漏条款现象。2022年2月18日组织实施了内审，查审核记录《内审记录》审核内容基本符合规定。有内审首/末次会议记录，记录了会议主要内容。</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提供了《内部审核报告》，审核结论：在不符合项采取了纠正措施并验证其有效性后，本公司质量、环境和职业健康安全管理体系的有效性、适宜性和符合性将有所提高，质量、环境和职业健康安全管理体系文件得到了有效的实施和保持。</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本次内审提出不符合项1项，查见《内审不符合项报告》，不符合分布在办公室，不符合事实：审核发现，不能提供锁具供方“洛阳市伊滨区富兴机械有限公司”供方评价及施加环境和安全影响的证据；纠正措施：1.加强对GB/T19001-2016标准8.4.1条款，GB/T24001-2016标准8.1条款、GB/T45001-2020标准8.1.4条款、管理手册及相关程序文件有关要求的学习和正确实施；2.补充供方评价和实施环境和安全影响的证据；纠正措施已实施。</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内审员经过了任命和培训，熟悉内审流程和方法，提供了内审员培训记录，审核员没有审核自己部门工作，具有独立性。内审符合要求。</w:t>
            </w:r>
          </w:p>
        </w:tc>
        <w:tc>
          <w:tcPr>
            <w:tcW w:w="1585" w:type="dxa"/>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895" w:type="dxa"/>
            <w:vAlign w:val="top"/>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不符合和纠正措施</w:t>
            </w:r>
          </w:p>
          <w:p>
            <w:pPr>
              <w:pStyle w:val="2"/>
              <w:rPr>
                <w:rFonts w:hint="default" w:ascii="Times New Roman" w:hAnsi="Times New Roman" w:eastAsia="宋体" w:cs="Times New Roman"/>
                <w:sz w:val="21"/>
                <w:szCs w:val="21"/>
                <w:lang w:val="en-US" w:eastAsia="zh-CN"/>
              </w:rPr>
            </w:pPr>
          </w:p>
        </w:tc>
        <w:tc>
          <w:tcPr>
            <w:tcW w:w="1225" w:type="dxa"/>
          </w:tcPr>
          <w:p>
            <w:pPr>
              <w:pStyle w:val="2"/>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QEO10.2</w:t>
            </w:r>
          </w:p>
        </w:tc>
        <w:tc>
          <w:tcPr>
            <w:tcW w:w="10004" w:type="dxa"/>
            <w:vAlign w:val="top"/>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 xml:space="preserve">公司执行《不合格输出控制程序》《不合格和纠正措施控制程序》《时间调查和处理控制程序》，对事故事件报告、调查、处理等以及纠正措施制定、实施、验证作了规定，其内容符合标准及组织实际要求。 </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查纠正措施实施情况：</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对内审中提出不合格项进行了原因分析,并制定、实施了纠正措施，并由内审员对所采取的纠正措施进行了验证，纠正措施有效；</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管理评审中发现的薄弱环节，分析了原因，采取了纠正措施。</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对管理体系日常检查和监督工作，业绩考评，客户满意度调查发现的不符合及时采取纠正，防止事态发展，进行原因分析，采取必要的纠正预防措施，防止事件的发生、再发生。</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生产中产生的不合格品由生技部登记并分析原因，制定措施避免再发生。</w:t>
            </w:r>
          </w:p>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体系运行以来公司按照体系的要求，通过运行控制、加强培训，以及开展管理评审活动等方式采取预防措施，防止不符合/不合格的发生，不符合得到了有效控制，人员质量、环保、安全意识有了明显提高，没有发现潜在的不符合，没有发生重大质量事故和投诉处罚，没有发生质量、环境、职业健康安全事件和投诉处罚。企业纠正和预防措施的管理符合标准规定要求。</w:t>
            </w:r>
          </w:p>
        </w:tc>
        <w:tc>
          <w:tcPr>
            <w:tcW w:w="1585" w:type="dxa"/>
          </w:tcPr>
          <w:p>
            <w:pPr>
              <w:pStyle w:val="2"/>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Y</w:t>
            </w:r>
          </w:p>
        </w:tc>
      </w:tr>
    </w:tbl>
    <w:p>
      <w:pPr>
        <w:pStyle w:val="4"/>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7EF41C3"/>
    <w:rsid w:val="2EAC2F63"/>
    <w:rsid w:val="4C0A5CA4"/>
    <w:rsid w:val="4E2F62E4"/>
    <w:rsid w:val="5B9D79BC"/>
    <w:rsid w:val="694015BF"/>
    <w:rsid w:val="6ABE4108"/>
    <w:rsid w:val="70D524F3"/>
    <w:rsid w:val="725B3FD2"/>
    <w:rsid w:val="7AA562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3">
    <w:name w:val="List Paragraph"/>
    <w:basedOn w:val="1"/>
    <w:qFormat/>
    <w:uiPriority w:val="34"/>
    <w:pPr>
      <w:ind w:firstLine="420" w:firstLineChars="200"/>
    </w:pPr>
    <w:rPr>
      <w:rFonts w:ascii="Calibri" w:hAnsi="Calibri" w:eastAsia="宋体" w:cs="Times New Roman"/>
      <w:szCs w:val="22"/>
    </w:rPr>
  </w:style>
  <w:style w:type="paragraph" w:customStyle="1" w:styleId="14">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6</TotalTime>
  <ScaleCrop>false</ScaleCrop>
  <LinksUpToDate>false</LinksUpToDate>
  <CharactersWithSpaces>101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2022-04-16T10:36:21Z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