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0185-2021-QEO-2022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西安西自仪检测技术有限公司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西安西自仪检测技术有限公司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陕西省西安市高新区丈八街办高新六路52号立人科技园C座一层西</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西安市未央区草滩十路1288号中电产业园B14号楼</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赵洁</w:t>
            </w:r>
            <w:bookmarkEnd w:id="10"/>
          </w:p>
        </w:tc>
        <w:tc>
          <w:tcPr>
            <w:tcW w:w="1313" w:type="dxa"/>
            <w:vAlign w:val="center"/>
          </w:tcPr>
          <w:p>
            <w:r>
              <w:rPr>
                <w:rFonts w:hint="eastAsia"/>
              </w:rPr>
              <w:t>电话.</w:t>
            </w:r>
          </w:p>
        </w:tc>
        <w:tc>
          <w:tcPr>
            <w:tcW w:w="2180" w:type="dxa"/>
            <w:vAlign w:val="center"/>
          </w:tcPr>
          <w:p>
            <w:bookmarkStart w:id="11" w:name="联系人电话"/>
            <w:r>
              <w:t>18092761581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潘选民</w:t>
            </w:r>
            <w:bookmarkEnd w:id="13"/>
          </w:p>
        </w:tc>
        <w:tc>
          <w:tcPr>
            <w:tcW w:w="1313" w:type="dxa"/>
            <w:vAlign w:val="center"/>
          </w:tcPr>
          <w:p>
            <w:r>
              <w:rPr>
                <w:rFonts w:hint="eastAsia"/>
              </w:rPr>
              <w:t>管理者代表</w:t>
            </w:r>
          </w:p>
        </w:tc>
        <w:tc>
          <w:tcPr>
            <w:tcW w:w="2180" w:type="dxa"/>
          </w:tcPr>
          <w:p>
            <w:bookmarkStart w:id="14" w:name="管理者代表"/>
            <w:r>
              <w:t>赵洁</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b/>
                <w:sz w:val="20"/>
                <w:szCs w:val="22"/>
                <w:lang w:val="en-US" w:eastAsia="zh-CN"/>
              </w:rPr>
            </w:pPr>
            <w:r>
              <w:rPr>
                <w:rFonts w:hint="eastAsia"/>
                <w:b/>
                <w:sz w:val="20"/>
                <w:szCs w:val="22"/>
                <w:lang w:val="en-US" w:eastAsia="zh-CN"/>
              </w:rPr>
              <w:t>计量器具的检定、校准、维护流程：签订并分配委托单-领取样品-确认送样单-检定、校准-核验/审核/审批-打印证书-客户缴费-领走证书、器具</w:t>
            </w:r>
          </w:p>
          <w:p>
            <w:r>
              <w:rPr>
                <w:rFonts w:hint="eastAsia"/>
                <w:b/>
                <w:sz w:val="20"/>
                <w:szCs w:val="22"/>
                <w:lang w:val="en-US" w:eastAsia="zh-CN"/>
              </w:rPr>
              <w:t>技术咨询及服务流程：用户提出要求→分析要求→报价、拟合同→制定产品指标、产品标准→完善技术文件→提交审核</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2022年03月28日 上午至2022年03月29日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r>
              <w:rPr>
                <w:rFonts w:hint="eastAsia"/>
              </w:rPr>
              <w:sym w:font="Wingdings 2" w:char="00A3"/>
            </w:r>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西安市未央区草滩十路1288号中电产业园B14号楼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Q：计量器具的检定、校准、技术咨询及服务；仪器仪表的维护</w:t>
            </w:r>
          </w:p>
          <w:p>
            <w:r>
              <w:t>E：计量器具的检定、校准、技术咨询及服务；仪器仪表的维护所涉及场所的相关环境管理活动</w:t>
            </w:r>
          </w:p>
          <w:p>
            <w:r>
              <w:t>O：计量器具的检定、校准、技术咨询及服务；仪器仪表的维护所涉及场所的相关职业健康安全管理活动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Q：19.15.00;34.02.00;34.06.00</w:t>
            </w:r>
          </w:p>
          <w:p>
            <w:r>
              <w:t>E：19.15.00;34.02.00;34.06.00</w:t>
            </w:r>
          </w:p>
          <w:p>
            <w:r>
              <w:t>O：19.15.00;34.02.00;34.06.00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A3"/>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18</w:t>
            </w:r>
            <w:r>
              <w:rPr>
                <w:rFonts w:hint="eastAsia"/>
              </w:rPr>
              <w:t>日</w:t>
            </w:r>
            <w:r>
              <w:rPr>
                <w:rFonts w:hint="eastAsia"/>
                <w:lang w:val="en-US" w:eastAsia="zh-CN"/>
              </w:rPr>
              <w:t>-3月20日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21</w:t>
            </w:r>
            <w:r>
              <w:rPr>
                <w:rFonts w:hint="eastAsia"/>
              </w:rPr>
              <w:t>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西安西自仪检测技术有限公司</w:t>
            </w:r>
            <w:r>
              <w:rPr>
                <w:rFonts w:hint="eastAsia"/>
                <w:sz w:val="21"/>
                <w:szCs w:val="21"/>
                <w:lang w:val="en-US" w:eastAsia="zh-CN"/>
              </w:rPr>
              <w:t>/</w:t>
            </w:r>
            <w:r>
              <w:rPr>
                <w:rFonts w:asciiTheme="minorEastAsia" w:hAnsiTheme="minorEastAsia" w:eastAsiaTheme="minorEastAsia"/>
                <w:sz w:val="20"/>
              </w:rPr>
              <w:t>陕西省西安市高新区丈八街办高新六路52号立人科技园C座一层西</w:t>
            </w:r>
          </w:p>
        </w:tc>
        <w:tc>
          <w:tcPr>
            <w:tcW w:w="2267" w:type="dxa"/>
          </w:tcPr>
          <w:p>
            <w:pPr>
              <w:rPr>
                <w:lang w:val="de-DE" w:eastAsia="ja-JP"/>
              </w:rPr>
            </w:pPr>
            <w:r>
              <w:rPr>
                <w:rFonts w:asciiTheme="minorEastAsia" w:hAnsiTheme="minorEastAsia" w:eastAsiaTheme="minorEastAsia"/>
                <w:sz w:val="20"/>
              </w:rPr>
              <w:t>西安市未央区草滩十路1288号中电产业园B14号楼</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Q：计量器具的检定、校准、技术咨询及服务；仪器仪表的维护</w:t>
            </w:r>
          </w:p>
          <w:p>
            <w:pPr>
              <w:rPr>
                <w:sz w:val="20"/>
              </w:rPr>
            </w:pPr>
            <w:r>
              <w:rPr>
                <w:sz w:val="20"/>
              </w:rPr>
              <w:t>E：计量器具的检定、校准、技术咨询及服务；仪器仪表的维护所涉及场所的相关环境管理活动</w:t>
            </w:r>
          </w:p>
          <w:p>
            <w:pPr>
              <w:rPr>
                <w:lang w:eastAsia="ja-JP"/>
              </w:rPr>
            </w:pPr>
            <w:r>
              <w:rPr>
                <w:sz w:val="20"/>
              </w:rPr>
              <w:t>O：计量器具的检定、校准、技术咨询及服务；仪器仪表的维护所涉及场所的相关职业健康安全管理活动</w:t>
            </w:r>
          </w:p>
        </w:tc>
        <w:tc>
          <w:tcPr>
            <w:tcW w:w="669" w:type="dxa"/>
            <w:vAlign w:val="center"/>
          </w:tcPr>
          <w:p>
            <w:pPr>
              <w:jc w:val="left"/>
              <w:rPr>
                <w:rFonts w:ascii="宋体" w:hAnsi="宋体"/>
                <w:b/>
                <w:sz w:val="21"/>
                <w:szCs w:val="21"/>
              </w:rPr>
            </w:pPr>
            <w:r>
              <w:rPr>
                <w:rFonts w:hint="eastAsia" w:ascii="宋体" w:hAnsi="宋体"/>
                <w:b/>
                <w:sz w:val="21"/>
                <w:szCs w:val="21"/>
              </w:rPr>
              <w:t>■GB/T19001-2016■GB/T24001-2016</w:t>
            </w:r>
          </w:p>
          <w:p>
            <w:pPr>
              <w:rPr>
                <w:lang w:eastAsia="ja-JP"/>
              </w:rPr>
            </w:pPr>
            <w:r>
              <w:rPr>
                <w:rFonts w:hint="eastAsia" w:ascii="宋体" w:hAnsi="宋体"/>
                <w:b/>
                <w:sz w:val="21"/>
                <w:szCs w:val="21"/>
              </w:rPr>
              <w:t>■GB/T45001-2020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r>
              <w:t>Q:19.15.00,34.02.00,34.06.00</w:t>
            </w:r>
          </w:p>
          <w:p>
            <w:r>
              <w:t>E:19.15.00,34.02.00,34.06.00</w:t>
            </w:r>
          </w:p>
          <w:p>
            <w:r>
              <w:t>O:19.15.00,34.02.00,34.06.00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p>
            <w:r>
              <w:t>2020-N1EMS-1263290</w:t>
            </w:r>
          </w:p>
        </w:tc>
        <w:tc>
          <w:tcPr>
            <w:tcW w:w="2179" w:type="dxa"/>
            <w:vAlign w:val="center"/>
          </w:tcPr>
          <w:p>
            <w:r>
              <w:t>Q:34.06.00</w:t>
            </w:r>
          </w:p>
          <w:p>
            <w:r>
              <w:t>E:34.06.00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default" w:eastAsiaTheme="minorEastAsia"/>
                <w:lang w:val="en-US" w:eastAsia="zh-CN"/>
              </w:rPr>
            </w:pPr>
            <w:r>
              <w:rPr>
                <w:rFonts w:hint="eastAsia" w:asciiTheme="minorEastAsia" w:hAnsiTheme="minorEastAsia" w:eastAsiaTheme="minorEastAsia"/>
                <w:sz w:val="20"/>
                <w:lang w:val="en-US" w:eastAsia="zh-CN"/>
              </w:rPr>
              <w:t>由</w:t>
            </w:r>
            <w:r>
              <w:rPr>
                <w:rFonts w:asciiTheme="minorEastAsia" w:hAnsiTheme="minorEastAsia" w:eastAsiaTheme="minorEastAsia"/>
                <w:sz w:val="20"/>
              </w:rPr>
              <w:t>陕西省西安市高新区丈八街办高新六路52号立人科技园C座一层西</w:t>
            </w:r>
            <w:r>
              <w:rPr>
                <w:rFonts w:hint="eastAsia" w:asciiTheme="minorEastAsia" w:hAnsiTheme="minorEastAsia" w:eastAsiaTheme="minorEastAsia"/>
                <w:sz w:val="20"/>
                <w:lang w:val="en-US" w:eastAsia="zh-CN"/>
              </w:rPr>
              <w:t>变更为</w:t>
            </w:r>
            <w:r>
              <w:rPr>
                <w:rFonts w:asciiTheme="minorEastAsia" w:hAnsiTheme="minorEastAsia" w:eastAsiaTheme="minorEastAsia"/>
                <w:sz w:val="20"/>
              </w:rPr>
              <w:t>西安市未央区草滩十路1288号中电产业园B14号楼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highlight w:val="cyan"/>
                    </w:rPr>
                  </w:pPr>
                  <w:r>
                    <w:rPr>
                      <w:rFonts w:hint="eastAsia"/>
                    </w:rPr>
                    <w:t>重要的相关方</w:t>
                  </w:r>
                </w:p>
              </w:tc>
              <w:tc>
                <w:tcPr>
                  <w:tcW w:w="6912" w:type="dxa"/>
                  <w:vAlign w:val="top"/>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供方</w:t>
                  </w:r>
                </w:p>
              </w:tc>
              <w:tc>
                <w:tcPr>
                  <w:tcW w:w="6912" w:type="dxa"/>
                  <w:vAlign w:val="top"/>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消费者</w:t>
                  </w:r>
                </w:p>
              </w:tc>
              <w:tc>
                <w:tcPr>
                  <w:tcW w:w="6912" w:type="dxa"/>
                  <w:vAlign w:val="top"/>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vAlign w:val="top"/>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jc w:val="both"/>
              <w:rPr>
                <w:rFonts w:hint="eastAsia"/>
              </w:rPr>
            </w:pPr>
            <w:r>
              <w:rPr>
                <w:rFonts w:hint="eastAsia"/>
              </w:rPr>
              <w:t>最高管理者制定了文件化的管理体系方针：</w:t>
            </w:r>
          </w:p>
          <w:p>
            <w:pPr>
              <w:jc w:val="center"/>
              <w:rPr>
                <w:rFonts w:ascii="幼圆" w:eastAsia="幼圆"/>
                <w:b/>
                <w:sz w:val="24"/>
                <w:szCs w:val="24"/>
              </w:rPr>
            </w:pPr>
            <w:r>
              <w:rPr>
                <w:rFonts w:hint="eastAsia" w:ascii="幼圆" w:eastAsia="幼圆"/>
                <w:b/>
                <w:sz w:val="24"/>
                <w:szCs w:val="24"/>
              </w:rPr>
              <w:t>顾客至上、优质高效；</w:t>
            </w:r>
          </w:p>
          <w:p>
            <w:pPr>
              <w:jc w:val="center"/>
              <w:rPr>
                <w:rFonts w:ascii="幼圆" w:eastAsia="幼圆"/>
                <w:b/>
                <w:sz w:val="24"/>
                <w:szCs w:val="24"/>
              </w:rPr>
            </w:pPr>
            <w:r>
              <w:rPr>
                <w:rFonts w:hint="eastAsia" w:ascii="幼圆" w:eastAsia="幼圆"/>
                <w:b/>
                <w:sz w:val="24"/>
                <w:szCs w:val="24"/>
              </w:rPr>
              <w:t>保护环境、减污降噪；</w:t>
            </w:r>
          </w:p>
          <w:p>
            <w:pPr>
              <w:jc w:val="center"/>
              <w:rPr>
                <w:rFonts w:ascii="幼圆" w:eastAsia="幼圆"/>
                <w:b/>
                <w:sz w:val="24"/>
                <w:szCs w:val="24"/>
              </w:rPr>
            </w:pPr>
            <w:r>
              <w:rPr>
                <w:rFonts w:hint="eastAsia" w:ascii="幼圆" w:eastAsia="幼圆"/>
                <w:b/>
                <w:sz w:val="24"/>
                <w:szCs w:val="24"/>
              </w:rPr>
              <w:t>以人为本、安全生产；</w:t>
            </w:r>
          </w:p>
          <w:p>
            <w:pPr>
              <w:jc w:val="center"/>
              <w:rPr>
                <w:rFonts w:ascii="幼圆" w:eastAsia="幼圆"/>
                <w:b/>
                <w:sz w:val="24"/>
                <w:szCs w:val="24"/>
              </w:rPr>
            </w:pPr>
            <w:r>
              <w:rPr>
                <w:rFonts w:hint="eastAsia" w:ascii="幼圆" w:eastAsia="幼圆"/>
                <w:b/>
                <w:sz w:val="24"/>
                <w:szCs w:val="24"/>
              </w:rPr>
              <w:t>遵纪守法、持续改进；</w:t>
            </w:r>
          </w:p>
          <w:p>
            <w:pPr>
              <w:jc w:val="center"/>
              <w:rPr>
                <w:u w:val="single"/>
              </w:rPr>
            </w:pPr>
            <w:r>
              <w:rPr>
                <w:rFonts w:hint="eastAsia" w:ascii="幼圆" w:eastAsia="幼圆"/>
                <w:b/>
                <w:sz w:val="24"/>
                <w:szCs w:val="24"/>
              </w:rPr>
              <w:t>提高素质、构建和谐；</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numPr>
                      <w:ilvl w:val="0"/>
                      <w:numId w:val="2"/>
                    </w:numPr>
                    <w:shd w:val="clear" w:color="auto" w:fill="C7DAF1" w:themeFill="text2" w:themeFillTint="32"/>
                    <w:rPr>
                      <w:rFonts w:hint="eastAsia"/>
                    </w:rPr>
                  </w:pPr>
                  <w:r>
                    <w:rPr>
                      <w:rFonts w:hint="eastAsia"/>
                    </w:rPr>
                    <w:t>加强与客户进行质量标准制定的沟通，统一双方的标准和方法。</w:t>
                  </w:r>
                </w:p>
                <w:p>
                  <w:pPr>
                    <w:pStyle w:val="2"/>
                    <w:numPr>
                      <w:ilvl w:val="0"/>
                      <w:numId w:val="2"/>
                    </w:numPr>
                    <w:rPr>
                      <w:rFonts w:ascii="Times New Roman" w:hAnsi="Times New Roman" w:eastAsia="宋体" w:cs="Times New Roman"/>
                      <w:bCs/>
                      <w:spacing w:val="10"/>
                      <w:kern w:val="2"/>
                      <w:sz w:val="21"/>
                      <w:szCs w:val="24"/>
                      <w:lang w:val="en-US" w:eastAsia="zh-CN" w:bidi="ar-SA"/>
                    </w:rPr>
                  </w:pPr>
                  <w:r>
                    <w:rPr>
                      <w:rFonts w:hint="eastAsia"/>
                      <w:lang w:val="en-US" w:eastAsia="zh-CN"/>
                    </w:rPr>
                    <w:t>战略发展</w:t>
                  </w:r>
                  <w:r>
                    <w:rPr>
                      <w:rFonts w:hint="eastAsia"/>
                      <w:lang w:eastAsia="zh-CN"/>
                    </w:rPr>
                    <w:t>部</w:t>
                  </w:r>
                  <w:r>
                    <w:rPr>
                      <w:rFonts w:hint="eastAsia"/>
                    </w:rPr>
                    <w:t>、综合办公室、</w:t>
                  </w:r>
                  <w:r>
                    <w:rPr>
                      <w:rFonts w:hint="eastAsia"/>
                      <w:lang w:val="en-US" w:eastAsia="zh-CN"/>
                    </w:rPr>
                    <w:t>计量</w:t>
                  </w:r>
                  <w:r>
                    <w:rPr>
                      <w:rFonts w:hint="eastAsia"/>
                      <w:lang w:eastAsia="zh-CN"/>
                    </w:rPr>
                    <w:t>部</w:t>
                  </w:r>
                  <w:r>
                    <w:rPr>
                      <w:rFonts w:hint="eastAsia"/>
                    </w:rPr>
                    <w:t>门做好施工计划的安排，保证计划的执行。</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rPr>
                      <w:rFonts w:hint="eastAsia"/>
                    </w:rPr>
                  </w:pPr>
                  <w:r>
                    <w:rPr>
                      <w:rFonts w:hint="eastAsia"/>
                      <w:b/>
                    </w:rPr>
                    <w:t>风险：</w:t>
                  </w:r>
                  <w:r>
                    <w:rPr>
                      <w:rFonts w:hint="eastAsia"/>
                    </w:rPr>
                    <w:t>监管部门监管力度的加大，如公司执行不规范，可能存在被查处的风险</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行业环境的变化，给公司带来新的发展机遇</w:t>
                  </w:r>
                </w:p>
              </w:tc>
              <w:tc>
                <w:tcPr>
                  <w:tcW w:w="3965" w:type="dxa"/>
                  <w:vAlign w:val="top"/>
                </w:tcPr>
                <w:p>
                  <w:pPr>
                    <w:numPr>
                      <w:ilvl w:val="0"/>
                      <w:numId w:val="3"/>
                    </w:numPr>
                    <w:shd w:val="clear" w:color="auto" w:fill="C7DAF1" w:themeFill="text2" w:themeFillTint="32"/>
                    <w:rPr>
                      <w:rFonts w:hint="eastAsia"/>
                    </w:rPr>
                  </w:pPr>
                  <w:r>
                    <w:rPr>
                      <w:rFonts w:hint="eastAsia"/>
                    </w:rPr>
                    <w:t>各级部门严格按照公司的规章制度开展相关工作。</w:t>
                  </w:r>
                </w:p>
                <w:p>
                  <w:pPr>
                    <w:pStyle w:val="2"/>
                    <w:numPr>
                      <w:ilvl w:val="0"/>
                      <w:numId w:val="3"/>
                    </w:numPr>
                    <w:rPr>
                      <w:rFonts w:ascii="Times New Roman" w:hAnsi="Times New Roman" w:eastAsia="宋体" w:cs="Times New Roman"/>
                      <w:bCs/>
                      <w:spacing w:val="10"/>
                      <w:kern w:val="2"/>
                      <w:sz w:val="21"/>
                      <w:szCs w:val="24"/>
                      <w:lang w:val="en-US" w:eastAsia="zh-CN" w:bidi="ar-SA"/>
                    </w:rPr>
                  </w:pPr>
                  <w:r>
                    <w:rPr>
                      <w:rFonts w:hint="eastAsia"/>
                    </w:rPr>
                    <w:t>职能部门加大公司内部制度执行情况的检查。</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仿宋" w:eastAsia="仿宋" w:cs="Times New Roman"/>
                      <w:kern w:val="2"/>
                      <w:sz w:val="24"/>
                      <w:szCs w:val="24"/>
                      <w:lang w:val="en-US" w:eastAsia="zh-CN" w:bidi="ar-SA"/>
                    </w:rPr>
                  </w:pPr>
                  <w:r>
                    <w:rPr>
                      <w:rFonts w:hint="eastAsia" w:hAnsi="仿宋" w:eastAsia="仿宋"/>
                      <w:sz w:val="24"/>
                    </w:rPr>
                    <w:t>1）顾客满意度≥90%。</w:t>
                  </w:r>
                </w:p>
              </w:tc>
              <w:tc>
                <w:tcPr>
                  <w:tcW w:w="3136" w:type="dxa"/>
                  <w:shd w:val="clear" w:color="auto" w:fill="auto"/>
                  <w:vAlign w:val="top"/>
                </w:tcPr>
                <w:p>
                  <w:pPr>
                    <w:spacing w:line="480" w:lineRule="exact"/>
                    <w:rPr>
                      <w:rFonts w:hint="eastAsia" w:ascii="Times New Roman" w:hAnsi="仿宋" w:eastAsia="仿宋" w:cs="Times New Roman"/>
                      <w:kern w:val="2"/>
                      <w:sz w:val="24"/>
                      <w:szCs w:val="24"/>
                      <w:lang w:val="en-GB" w:eastAsia="zh-CN" w:bidi="ar-SA"/>
                    </w:rPr>
                  </w:pPr>
                  <w:r>
                    <w:rPr>
                      <w:rFonts w:hint="eastAsia" w:hAnsi="仿宋" w:eastAsia="仿宋"/>
                      <w:sz w:val="24"/>
                    </w:rPr>
                    <w:t>顾客调查表满意数/顾客调查表总数*100%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综合管理部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GB" w:eastAsia="zh-CN" w:bidi="ar-SA"/>
                    </w:rPr>
                  </w:pPr>
                  <w:r>
                    <w:rPr>
                      <w:rFonts w:hint="eastAsia" w:hAnsi="仿宋" w:eastAsia="仿宋"/>
                      <w:sz w:val="24"/>
                    </w:rPr>
                    <w:t>9</w:t>
                  </w:r>
                  <w:r>
                    <w:rPr>
                      <w:rFonts w:hint="eastAsia" w:hAnsi="仿宋" w:eastAsia="仿宋"/>
                      <w:sz w:val="24"/>
                      <w:lang w:val="en-US" w:eastAsia="zh-CN"/>
                    </w:rPr>
                    <w:t>8</w:t>
                  </w:r>
                  <w:r>
                    <w:rPr>
                      <w:rFonts w:hint="eastAsia"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仿宋" w:eastAsia="仿宋" w:cs="Times New Roman"/>
                      <w:kern w:val="2"/>
                      <w:sz w:val="24"/>
                      <w:szCs w:val="24"/>
                      <w:lang w:val="en-US" w:eastAsia="zh-CN" w:bidi="ar-SA"/>
                    </w:rPr>
                  </w:pPr>
                  <w:r>
                    <w:rPr>
                      <w:rFonts w:hint="eastAsia" w:hAnsi="仿宋" w:eastAsia="仿宋"/>
                      <w:sz w:val="24"/>
                    </w:rPr>
                    <w:t>2) 检定、校准服务合格率100%</w:t>
                  </w:r>
                </w:p>
              </w:tc>
              <w:tc>
                <w:tcPr>
                  <w:tcW w:w="3136" w:type="dxa"/>
                  <w:shd w:val="clear" w:color="auto" w:fill="auto"/>
                  <w:vAlign w:val="top"/>
                </w:tcPr>
                <w:p>
                  <w:pPr>
                    <w:spacing w:line="480" w:lineRule="exact"/>
                    <w:rPr>
                      <w:rFonts w:hint="eastAsia" w:ascii="Times New Roman" w:hAnsi="仿宋" w:eastAsia="仿宋" w:cs="Times New Roman"/>
                      <w:kern w:val="2"/>
                      <w:sz w:val="24"/>
                      <w:szCs w:val="24"/>
                      <w:lang w:val="en-US" w:eastAsia="zh-CN" w:bidi="ar-SA"/>
                    </w:rPr>
                  </w:pPr>
                  <w:r>
                    <w:rPr>
                      <w:rFonts w:hint="eastAsia" w:hAnsi="仿宋" w:eastAsia="仿宋"/>
                      <w:sz w:val="24"/>
                    </w:rPr>
                    <w:t>计量服务合格数/服务总数*100%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计量部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US"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1733</w:t>
            </w:r>
            <w:r>
              <w:rPr>
                <w:rFonts w:hint="eastAsia"/>
              </w:rPr>
              <w:t>平方米；生产车间个；库房</w:t>
            </w:r>
            <w:r>
              <w:rPr>
                <w:rFonts w:hint="eastAsia"/>
                <w:lang w:val="en-US" w:eastAsia="zh-CN"/>
              </w:rPr>
              <w:t>2</w:t>
            </w:r>
            <w:r>
              <w:rPr>
                <w:rFonts w:hint="eastAsia"/>
              </w:rPr>
              <w:t>个；实验室</w:t>
            </w:r>
            <w:r>
              <w:rPr>
                <w:rFonts w:hint="eastAsia"/>
                <w:lang w:val="en-US" w:eastAsia="zh-CN"/>
              </w:rPr>
              <w:t>9</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阿贝折射仪、电导率仪专用电阻箱、可调式高阻箱、柴油发动机转</w:t>
            </w:r>
            <w:r>
              <w:rPr>
                <w:rFonts w:hint="eastAsia"/>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sym w:font="Wingdings 2" w:char="0052"/>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标准表法水流量装置、过程校验仪、精密露点仪、智能数字压力校验仪</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sym w:font="Wingdings 2" w:char="0052"/>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sz w:val="20"/>
                    </w:rPr>
                    <w:t>计量器具的检定、校准、技术咨询及服务</w:t>
                  </w:r>
                </w:p>
              </w:tc>
              <w:tc>
                <w:tcPr>
                  <w:tcW w:w="3665" w:type="dxa"/>
                </w:tcPr>
                <w:p>
                  <w:pPr>
                    <w:shd w:val="clear" w:color="auto" w:fill="C7DAF1" w:themeFill="text2" w:themeFillTint="32"/>
                    <w:jc w:val="left"/>
                  </w:pPr>
                  <w:r>
                    <w:rPr>
                      <w:rFonts w:hint="eastAsia" w:ascii="宋体" w:hAnsi="宋体" w:eastAsia="宋体" w:cs="宋体"/>
                      <w:color w:val="000000"/>
                      <w:kern w:val="0"/>
                      <w:sz w:val="21"/>
                      <w:szCs w:val="21"/>
                      <w:lang w:val="en-US" w:eastAsia="zh-CN" w:bidi="ar"/>
                    </w:rPr>
                    <w:t>计量检定/校准过程</w:t>
                  </w:r>
                </w:p>
              </w:tc>
              <w:tc>
                <w:tcPr>
                  <w:tcW w:w="3265" w:type="dxa"/>
                </w:tcPr>
                <w:p>
                  <w:pPr>
                    <w:shd w:val="clear" w:color="auto" w:fill="C7DAF1" w:themeFill="text2" w:themeFillTint="32"/>
                    <w:jc w:val="left"/>
                  </w:pPr>
                  <w:r>
                    <w:rPr>
                      <w:rFonts w:hint="eastAsia" w:ascii="宋体" w:hAnsi="宋体" w:eastAsia="宋体" w:cs="宋体"/>
                      <w:color w:val="000000"/>
                      <w:kern w:val="0"/>
                      <w:sz w:val="21"/>
                      <w:szCs w:val="21"/>
                      <w:lang w:val="en-US" w:eastAsia="zh-CN" w:bidi="ar"/>
                    </w:rPr>
                    <w:t>需严格按照国家检定规程和校准规范执行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sym w:font="Wingdings 2" w:char="0052"/>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sym w:font="Wingdings 2" w:char="0052"/>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vAlign w:val="top"/>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vAlign w:val="top"/>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vAlign w:val="top"/>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jc w:val="center"/>
              <w:rPr>
                <w:rFonts w:ascii="幼圆" w:eastAsia="幼圆"/>
                <w:b/>
                <w:sz w:val="24"/>
                <w:szCs w:val="24"/>
              </w:rPr>
            </w:pPr>
            <w:r>
              <w:rPr>
                <w:rFonts w:hint="eastAsia" w:ascii="幼圆" w:eastAsia="幼圆"/>
                <w:b/>
                <w:sz w:val="24"/>
                <w:szCs w:val="24"/>
              </w:rPr>
              <w:t>顾客至上、优质高效；</w:t>
            </w:r>
          </w:p>
          <w:p>
            <w:pPr>
              <w:jc w:val="center"/>
              <w:rPr>
                <w:rFonts w:ascii="幼圆" w:eastAsia="幼圆"/>
                <w:b/>
                <w:sz w:val="24"/>
                <w:szCs w:val="24"/>
              </w:rPr>
            </w:pPr>
            <w:r>
              <w:rPr>
                <w:rFonts w:hint="eastAsia" w:ascii="幼圆" w:eastAsia="幼圆"/>
                <w:b/>
                <w:sz w:val="24"/>
                <w:szCs w:val="24"/>
              </w:rPr>
              <w:t>保护环境、减污降噪；</w:t>
            </w:r>
          </w:p>
          <w:p>
            <w:pPr>
              <w:jc w:val="center"/>
              <w:rPr>
                <w:rFonts w:ascii="幼圆" w:eastAsia="幼圆"/>
                <w:b/>
                <w:sz w:val="24"/>
                <w:szCs w:val="24"/>
              </w:rPr>
            </w:pPr>
            <w:r>
              <w:rPr>
                <w:rFonts w:hint="eastAsia" w:ascii="幼圆" w:eastAsia="幼圆"/>
                <w:b/>
                <w:sz w:val="24"/>
                <w:szCs w:val="24"/>
              </w:rPr>
              <w:t>以人为本、安全生产；</w:t>
            </w:r>
          </w:p>
          <w:p>
            <w:pPr>
              <w:jc w:val="center"/>
              <w:rPr>
                <w:rFonts w:ascii="幼圆" w:eastAsia="幼圆"/>
                <w:b/>
                <w:sz w:val="24"/>
                <w:szCs w:val="24"/>
              </w:rPr>
            </w:pPr>
            <w:r>
              <w:rPr>
                <w:rFonts w:hint="eastAsia" w:ascii="幼圆" w:eastAsia="幼圆"/>
                <w:b/>
                <w:sz w:val="24"/>
                <w:szCs w:val="24"/>
              </w:rPr>
              <w:t>遵纪守法、持续改进；</w:t>
            </w:r>
          </w:p>
          <w:p>
            <w:pPr>
              <w:jc w:val="center"/>
              <w:rPr>
                <w:u w:val="single"/>
              </w:rPr>
            </w:pPr>
            <w:r>
              <w:rPr>
                <w:rFonts w:hint="eastAsia" w:ascii="幼圆" w:eastAsia="幼圆"/>
                <w:b/>
                <w:sz w:val="24"/>
                <w:szCs w:val="24"/>
              </w:rPr>
              <w:t>提高素质、构建和谐；</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综合管理部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szCs w:val="21"/>
                    </w:rPr>
                    <w:t>行业标准的变化</w:t>
                  </w:r>
                </w:p>
              </w:tc>
              <w:tc>
                <w:tcPr>
                  <w:tcW w:w="3965"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rPr>
                    <w:t>1.主要职能部门按照要求加强法律法规的收集评价</w:t>
                  </w:r>
                  <w:r>
                    <w:rPr>
                      <w:rFonts w:hint="eastAsia"/>
                      <w:lang w:eastAsia="zh-CN"/>
                    </w:rPr>
                    <w:t>；</w:t>
                  </w:r>
                  <w:r>
                    <w:rPr>
                      <w:rFonts w:hint="eastAsia"/>
                    </w:rPr>
                    <w:t>综合办公室加大市场开拓</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目前公司管理流程基本覆盖了公司日常工作，但是流程执行力如果得不到保证，会对公司运行带来一定的风险。</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b/>
                    </w:rPr>
                    <w:t>机遇：</w:t>
                  </w:r>
                  <w:r>
                    <w:rPr>
                      <w:rFonts w:hint="eastAsia"/>
                      <w:spacing w:val="-6"/>
                      <w:szCs w:val="21"/>
                    </w:rPr>
                    <w:t>完善流程，提高执行力，可以提高公司的管理水平。</w:t>
                  </w:r>
                </w:p>
              </w:tc>
              <w:tc>
                <w:tcPr>
                  <w:tcW w:w="3965" w:type="dxa"/>
                  <w:vAlign w:val="top"/>
                </w:tcPr>
                <w:p>
                  <w:pPr>
                    <w:rPr>
                      <w:rFonts w:hint="eastAsia"/>
                    </w:rPr>
                  </w:pPr>
                  <w:r>
                    <w:rPr>
                      <w:rFonts w:hint="eastAsia"/>
                    </w:rPr>
                    <w:t>1.各级部门必须严格按照流程开展日常工作，对出现的不符合情况及时调整文件，保持流程的可操作性；</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2.公司组织定期组织进行流程的评审。</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rPr>
              <w:sym w:font="Wingdings 2" w:char="0052"/>
            </w:r>
            <w:r>
              <w:rPr>
                <w:rFonts w:hint="eastAsia"/>
              </w:rPr>
              <w:t>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6"/>
                    <w:spacing w:line="520" w:lineRule="exact"/>
                    <w:ind w:firstLine="0" w:firstLineChars="0"/>
                    <w:rPr>
                      <w:rFonts w:hint="eastAsia" w:hAnsi="仿宋" w:eastAsia="仿宋"/>
                      <w:sz w:val="24"/>
                      <w:szCs w:val="24"/>
                    </w:rPr>
                  </w:pPr>
                  <w:r>
                    <w:rPr>
                      <w:rFonts w:hint="eastAsia" w:hAnsi="仿宋" w:eastAsia="仿宋"/>
                      <w:sz w:val="24"/>
                      <w:szCs w:val="24"/>
                    </w:rPr>
                    <w:t>固废合理分类为100%；</w:t>
                  </w:r>
                </w:p>
                <w:p>
                  <w:pPr>
                    <w:rPr>
                      <w:rFonts w:hint="eastAsia" w:ascii="Times New Roman" w:hAnsi="仿宋" w:eastAsia="仿宋" w:cs="Times New Roman"/>
                      <w:kern w:val="2"/>
                      <w:sz w:val="24"/>
                      <w:szCs w:val="24"/>
                      <w:lang w:val="en-US" w:eastAsia="zh-CN" w:bidi="ar-SA"/>
                    </w:rPr>
                  </w:pPr>
                </w:p>
              </w:tc>
              <w:tc>
                <w:tcPr>
                  <w:tcW w:w="3136" w:type="dxa"/>
                  <w:shd w:val="clear" w:color="auto" w:fill="auto"/>
                  <w:vAlign w:val="center"/>
                </w:tcPr>
                <w:p>
                  <w:pPr>
                    <w:spacing w:line="240" w:lineRule="atLeast"/>
                    <w:ind w:right="-108"/>
                    <w:rPr>
                      <w:rFonts w:hint="eastAsia" w:ascii="宋体" w:hAnsi="宋体"/>
                      <w:szCs w:val="21"/>
                    </w:rPr>
                  </w:pPr>
                  <w:r>
                    <w:rPr>
                      <w:rFonts w:hint="eastAsia" w:ascii="宋体" w:hAnsi="宋体"/>
                      <w:szCs w:val="21"/>
                    </w:rPr>
                    <w:t>1.加强日常教育提高意识；</w:t>
                  </w:r>
                </w:p>
                <w:p>
                  <w:pPr>
                    <w:spacing w:line="240" w:lineRule="atLeast"/>
                    <w:ind w:right="-108"/>
                    <w:rPr>
                      <w:rFonts w:hint="eastAsia" w:ascii="宋体" w:hAnsi="宋体"/>
                      <w:szCs w:val="21"/>
                    </w:rPr>
                  </w:pPr>
                  <w:r>
                    <w:rPr>
                      <w:rFonts w:hint="eastAsia" w:ascii="宋体" w:hAnsi="宋体"/>
                      <w:szCs w:val="21"/>
                    </w:rPr>
                    <w:t>2.制定目标，加强监督检查；</w:t>
                  </w:r>
                </w:p>
                <w:p>
                  <w:pPr>
                    <w:shd w:val="clear" w:color="auto" w:fill="EBF1DE" w:themeFill="accent3" w:themeFillTint="32"/>
                    <w:rPr>
                      <w:lang w:val="en-GB"/>
                    </w:rPr>
                  </w:pPr>
                  <w:r>
                    <w:rPr>
                      <w:rFonts w:hint="eastAsia" w:ascii="宋体" w:hAnsi="宋体"/>
                      <w:szCs w:val="21"/>
                    </w:rPr>
                    <w:t>3.分类收集，统一处理。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综合管理部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GB" w:eastAsia="zh-CN" w:bidi="ar-SA"/>
                    </w:rPr>
                  </w:pPr>
                  <w:r>
                    <w:rPr>
                      <w:rFonts w:hint="eastAsia"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16"/>
                    <w:spacing w:line="520" w:lineRule="exact"/>
                    <w:ind w:firstLine="0" w:firstLineChars="0"/>
                    <w:rPr>
                      <w:rFonts w:hint="eastAsia" w:ascii="Times New Roman" w:hAnsi="仿宋" w:eastAsia="仿宋" w:cs="Times New Roman"/>
                      <w:kern w:val="2"/>
                      <w:sz w:val="24"/>
                      <w:szCs w:val="24"/>
                      <w:lang w:val="en-US" w:eastAsia="zh-CN" w:bidi="ar-SA"/>
                    </w:rPr>
                  </w:pPr>
                  <w:r>
                    <w:rPr>
                      <w:rFonts w:hint="eastAsia" w:hAnsi="仿宋" w:eastAsia="仿宋"/>
                      <w:sz w:val="24"/>
                      <w:szCs w:val="24"/>
                    </w:rPr>
                    <w:t>火灾事故为零</w:t>
                  </w: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各部门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US"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1733</w:t>
            </w:r>
            <w:r>
              <w:rPr>
                <w:rFonts w:hint="eastAsia"/>
              </w:rPr>
              <w:t>平方米；生产车间个；库房</w:t>
            </w:r>
            <w:r>
              <w:rPr>
                <w:rFonts w:hint="eastAsia"/>
                <w:lang w:val="en-US" w:eastAsia="zh-CN"/>
              </w:rPr>
              <w:t>2</w:t>
            </w:r>
            <w:r>
              <w:rPr>
                <w:rFonts w:hint="eastAsia"/>
              </w:rPr>
              <w:t>个；实验室</w:t>
            </w:r>
            <w:r>
              <w:rPr>
                <w:rFonts w:hint="eastAsia"/>
                <w:lang w:val="en-US" w:eastAsia="zh-CN"/>
              </w:rPr>
              <w:t>9</w:t>
            </w:r>
            <w:r>
              <w:rPr>
                <w:rFonts w:hint="eastAsia"/>
              </w:rPr>
              <w:t>个；</w:t>
            </w:r>
          </w:p>
          <w:p>
            <w:pPr>
              <w:shd w:val="clear" w:color="auto" w:fill="EBF1DE" w:themeFill="accent3" w:themeFillTint="32"/>
              <w:rPr>
                <w:rFonts w:hint="eastAsia"/>
              </w:rPr>
            </w:pPr>
            <w:r>
              <w:rPr>
                <w:rFonts w:hint="eastAsia"/>
              </w:rPr>
              <w:t>主要生产设备有：（</w:t>
            </w:r>
            <w:r>
              <w:rPr>
                <w:rFonts w:hint="eastAsia"/>
                <w:lang w:val="en-US" w:eastAsia="zh-CN"/>
              </w:rPr>
              <w:t>阿贝折射仪、电导率仪专用电阻箱、可调式高阻箱、柴油发动机转</w:t>
            </w:r>
            <w:r>
              <w:rPr>
                <w:rFonts w:hint="eastAsia"/>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灭火器、垃圾箱</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t>¨</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lang w:val="en-US"/>
                    </w:rPr>
                  </w:pPr>
                  <w:r>
                    <w:rPr>
                      <w:rFonts w:hint="eastAsia"/>
                      <w:lang w:val="en-US" w:eastAsia="zh-CN"/>
                    </w:rPr>
                    <w:t>分类管理，废液量少目前自行保存</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lang w:val="en-US" w:eastAsia="zh-CN"/>
                    </w:rPr>
                    <w:t>配备灭火器</w:t>
                  </w:r>
                </w:p>
              </w:tc>
              <w:tc>
                <w:tcPr>
                  <w:tcW w:w="3265" w:type="dxa"/>
                  <w:vAlign w:val="top"/>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sym w:font="Wingdings 2" w:char="0052"/>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19</w:t>
            </w:r>
            <w:r>
              <w:rPr>
                <w:rFonts w:hint="eastAsia"/>
              </w:rPr>
              <w:t>日进行了</w:t>
            </w:r>
            <w:r>
              <w:rPr>
                <w:rFonts w:hint="eastAsia"/>
                <w:lang w:val="en-US" w:eastAsia="zh-CN"/>
              </w:rPr>
              <w:t>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52"/>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sym w:font="Wingdings 2" w:char="0052"/>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jc w:val="center"/>
              <w:rPr>
                <w:rFonts w:ascii="幼圆" w:eastAsia="幼圆"/>
                <w:b/>
                <w:sz w:val="24"/>
                <w:szCs w:val="24"/>
              </w:rPr>
            </w:pPr>
            <w:r>
              <w:rPr>
                <w:rFonts w:hint="eastAsia" w:ascii="幼圆" w:eastAsia="幼圆"/>
                <w:b/>
                <w:sz w:val="24"/>
                <w:szCs w:val="24"/>
              </w:rPr>
              <w:t>顾客至上、优质高效；</w:t>
            </w:r>
          </w:p>
          <w:p>
            <w:pPr>
              <w:jc w:val="center"/>
              <w:rPr>
                <w:rFonts w:ascii="幼圆" w:eastAsia="幼圆"/>
                <w:b/>
                <w:sz w:val="24"/>
                <w:szCs w:val="24"/>
              </w:rPr>
            </w:pPr>
            <w:r>
              <w:rPr>
                <w:rFonts w:hint="eastAsia" w:ascii="幼圆" w:eastAsia="幼圆"/>
                <w:b/>
                <w:sz w:val="24"/>
                <w:szCs w:val="24"/>
              </w:rPr>
              <w:t>保护环境、减污降噪；</w:t>
            </w:r>
          </w:p>
          <w:p>
            <w:pPr>
              <w:jc w:val="center"/>
              <w:rPr>
                <w:rFonts w:ascii="幼圆" w:eastAsia="幼圆"/>
                <w:b/>
                <w:sz w:val="24"/>
                <w:szCs w:val="24"/>
              </w:rPr>
            </w:pPr>
            <w:r>
              <w:rPr>
                <w:rFonts w:hint="eastAsia" w:ascii="幼圆" w:eastAsia="幼圆"/>
                <w:b/>
                <w:sz w:val="24"/>
                <w:szCs w:val="24"/>
              </w:rPr>
              <w:t>以人为本、安全生产；</w:t>
            </w:r>
          </w:p>
          <w:p>
            <w:pPr>
              <w:jc w:val="center"/>
              <w:rPr>
                <w:rFonts w:ascii="幼圆" w:eastAsia="幼圆"/>
                <w:b/>
                <w:sz w:val="24"/>
                <w:szCs w:val="24"/>
              </w:rPr>
            </w:pPr>
            <w:r>
              <w:rPr>
                <w:rFonts w:hint="eastAsia" w:ascii="幼圆" w:eastAsia="幼圆"/>
                <w:b/>
                <w:sz w:val="24"/>
                <w:szCs w:val="24"/>
              </w:rPr>
              <w:t>遵纪守法、持续改进；</w:t>
            </w:r>
          </w:p>
          <w:p>
            <w:pPr>
              <w:jc w:val="center"/>
              <w:rPr>
                <w:u w:val="single"/>
              </w:rPr>
            </w:pPr>
            <w:r>
              <w:rPr>
                <w:rFonts w:hint="eastAsia" w:ascii="幼圆" w:eastAsia="幼圆"/>
                <w:b/>
                <w:sz w:val="24"/>
                <w:szCs w:val="24"/>
              </w:rPr>
              <w:t>提高素质、构建和谐；</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综合管理部</w:t>
            </w:r>
          </w:p>
          <w:p>
            <w:r>
              <w:rPr>
                <w:rFonts w:hint="eastAsia"/>
              </w:rPr>
              <w:t>安全的主管部门是——</w:t>
            </w:r>
            <w:r>
              <w:rPr>
                <w:rFonts w:hint="eastAsia"/>
                <w:lang w:val="en-US" w:eastAsia="zh-CN"/>
              </w:rPr>
              <w:t>综合管理部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禁止乱接乱接、日常检查电源线是否老化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rPr>
              <w:sym w:font="Wingdings 2" w:char="0052"/>
            </w:r>
            <w:r>
              <w:rPr>
                <w:rFonts w:hint="eastAsia"/>
              </w:rPr>
              <w:t>触电□化学伤害□噪声□粉尘□危险作业□高低温</w:t>
            </w:r>
            <w:r>
              <w:rPr>
                <w:rFonts w:hint="eastAsia"/>
              </w:rPr>
              <w:sym w:font="Wingdings 2" w:char="0052"/>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sym w:font="Wingdings 2" w:char="0052"/>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仿宋" w:eastAsia="仿宋"/>
                      <w:sz w:val="24"/>
                      <w:szCs w:val="24"/>
                    </w:rPr>
                    <w:t>火灾事故为零</w:t>
                  </w:r>
                </w:p>
              </w:tc>
              <w:tc>
                <w:tcPr>
                  <w:tcW w:w="3136" w:type="dxa"/>
                  <w:shd w:val="clear" w:color="auto" w:fill="auto"/>
                  <w:vAlign w:val="center"/>
                </w:tcPr>
                <w:p>
                  <w:pPr>
                    <w:rPr>
                      <w:rFonts w:hint="default"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GB"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仿宋" w:eastAsia="仿宋"/>
                      <w:sz w:val="24"/>
                    </w:rPr>
                    <w:t>意外伤害事故为零</w:t>
                  </w:r>
                </w:p>
              </w:tc>
              <w:tc>
                <w:tcPr>
                  <w:tcW w:w="3136" w:type="dxa"/>
                  <w:shd w:val="clear" w:color="auto" w:fill="auto"/>
                  <w:vAlign w:val="center"/>
                </w:tcPr>
                <w:p>
                  <w:pPr>
                    <w:rPr>
                      <w:rFonts w:ascii="宋体" w:hAnsi="宋体"/>
                    </w:rPr>
                  </w:pPr>
                  <w:r>
                    <w:rPr>
                      <w:rFonts w:hint="eastAsia"/>
                      <w:lang w:val="en-US" w:eastAsia="zh-CN"/>
                    </w:rPr>
                    <w:t>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US"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1733</w:t>
            </w:r>
            <w:r>
              <w:rPr>
                <w:rFonts w:hint="eastAsia"/>
              </w:rPr>
              <w:t>平方米；生产车间个；库房</w:t>
            </w:r>
            <w:r>
              <w:rPr>
                <w:rFonts w:hint="eastAsia"/>
                <w:lang w:val="en-US" w:eastAsia="zh-CN"/>
              </w:rPr>
              <w:t>2</w:t>
            </w:r>
            <w:r>
              <w:rPr>
                <w:rFonts w:hint="eastAsia"/>
              </w:rPr>
              <w:t>个；实验室</w:t>
            </w:r>
            <w:r>
              <w:rPr>
                <w:rFonts w:hint="eastAsia"/>
                <w:lang w:val="en-US" w:eastAsia="zh-CN"/>
              </w:rPr>
              <w:t>9</w:t>
            </w:r>
            <w:r>
              <w:rPr>
                <w:rFonts w:hint="eastAsia"/>
              </w:rPr>
              <w:t>个；</w:t>
            </w:r>
          </w:p>
          <w:p>
            <w:pPr>
              <w:rPr>
                <w:u w:val="single"/>
              </w:rPr>
            </w:pPr>
            <w:r>
              <w:rPr>
                <w:rFonts w:hint="eastAsia"/>
              </w:rPr>
              <w:t>主要生产设备有：（</w:t>
            </w:r>
            <w:r>
              <w:rPr>
                <w:rFonts w:hint="eastAsia"/>
                <w:lang w:val="en-US" w:eastAsia="zh-CN"/>
              </w:rPr>
              <w:t>阿贝折射仪、电导率仪专用电阻箱、可调式高阻箱、柴油发动机转</w:t>
            </w:r>
            <w:r>
              <w:rPr>
                <w:rFonts w:hint="eastAsia"/>
              </w:rPr>
              <w:t>）</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t>¨</w:t>
            </w:r>
            <w:r>
              <w:rPr>
                <w:rFonts w:hint="eastAsia"/>
              </w:rPr>
              <w:t>光栅</w:t>
            </w:r>
            <w:r>
              <w:rPr>
                <w:rFonts w:hint="eastAsia" w:ascii="Wingdings" w:hAnsi="Wingdings"/>
              </w:rPr>
              <w:sym w:font="Wingdings 2" w:char="0052"/>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sym w:font="Wingdings 2" w:char="0052"/>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sym w:font="Wingdings 2" w:char="0052"/>
            </w:r>
            <w:r>
              <w:rPr>
                <w:rFonts w:hint="eastAsia"/>
              </w:rPr>
              <w:t>危化品库</w:t>
            </w:r>
          </w:p>
          <w:p>
            <w:pPr>
              <w:ind w:firstLine="1050" w:firstLineChars="500"/>
            </w:pPr>
            <w:r>
              <w:rPr>
                <w:rFonts w:hint="eastAsia" w:ascii="Wingdings" w:hAnsi="Wingdings"/>
              </w:rPr>
              <w:sym w:font="Wingdings 2" w:char="0052"/>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sym w:font="Wingdings 2" w:char="0052"/>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sym w:font="Wingdings 2" w:char="0052"/>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52"/>
                  </w:r>
                  <w:r>
                    <w:rPr>
                      <w:rFonts w:hint="eastAsia"/>
                    </w:rPr>
                    <w:t>排风系统□穿戴劳保用品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灭火器、消防栓</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lang w:val="en-US" w:eastAsia="zh-CN"/>
              </w:rPr>
              <w:t>电梯检验报告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2" w:char="0052"/>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A3"/>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2" w:char="0052"/>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sym w:font="Wingdings 2" w:char="0052"/>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30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sym w:font="Wingdings 2" w:char="0052"/>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3" w:name="_GoBack"/>
            <w:bookmarkEnd w:id="33"/>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9"/>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403146"/>
    <w:rsid w:val="0A955E5C"/>
    <w:rsid w:val="0F921E2A"/>
    <w:rsid w:val="155F0136"/>
    <w:rsid w:val="16257015"/>
    <w:rsid w:val="19C30780"/>
    <w:rsid w:val="1D2D5B26"/>
    <w:rsid w:val="248D393F"/>
    <w:rsid w:val="2B31474E"/>
    <w:rsid w:val="2CAB063B"/>
    <w:rsid w:val="32320680"/>
    <w:rsid w:val="375D3324"/>
    <w:rsid w:val="3A2F34C5"/>
    <w:rsid w:val="3E5F73C3"/>
    <w:rsid w:val="3F8400F2"/>
    <w:rsid w:val="513A3A4D"/>
    <w:rsid w:val="59D26D36"/>
    <w:rsid w:val="5AB749AA"/>
    <w:rsid w:val="7EC31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tabs>
        <w:tab w:val="left" w:pos="0"/>
        <w:tab w:val="left" w:pos="180"/>
      </w:tabs>
      <w:spacing w:line="360" w:lineRule="auto"/>
      <w:jc w:val="left"/>
    </w:pPr>
    <w:rPr>
      <w:sz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qFormat/>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2022-03-31T02:24:44Z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