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安徽天畅金属材料有限公司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r>
              <w:rPr>
                <w:rFonts w:hint="eastAsia"/>
                <w:b/>
                <w:szCs w:val="21"/>
              </w:rPr>
              <w:t>一</w:t>
            </w:r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  <w:bookmarkStart w:id="12" w:name="_GoBack"/>
            <w:bookmarkEnd w:id="12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 w:val="0"/>
                <w:bCs/>
                <w:szCs w:val="21"/>
                <w:lang w:val="en-US" w:eastAsia="zh-CN"/>
              </w:rPr>
              <w:t>查综合办公室提供的《适用国家法律法规及其他要求评价表(能源）》，未能将标准RB∕T 117-2014《能源管理体系有色金属企业认证要求》和GB∕T 36713-2018《 能源管理体系 能源基准和能源绩效参数》进行识别与收集。问题</w:t>
            </w: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：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 w:cs="Times New Roman"/>
                <w:b/>
                <w:szCs w:val="21"/>
                <w:lang w:val="en-US" w:eastAsia="zh-CN"/>
              </w:rPr>
              <w:t>En/4.2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343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0</TotalTime>
  <ScaleCrop>false</ScaleCrop>
  <LinksUpToDate>false</LinksUpToDate>
  <CharactersWithSpaces>192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2022-03-26T15:19:17Z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2052-11.1.0.10667</vt:lpwstr>
  </property>
</Properties>
</file>