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0261-2022-QEO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浙江自贸区闪汇能源有限公司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李蒙生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91330900MA2A3WHE6Y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Q:8,E:8,O:8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浙江自贸区闪汇能源有限公司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Q：成品油、化工产品的销售（许可范围内）</w:t>
            </w:r>
          </w:p>
          <w:p>
            <w:pPr>
              <w:snapToGrid w:val="0"/>
              <w:spacing w:line="0" w:lineRule="atLeast"/>
              <w:jc w:val="left"/>
              <w:rPr>
                <w:sz w:val="22"/>
                <w:szCs w:val="22"/>
              </w:rPr>
            </w:pPr>
            <w:r>
              <w:rPr>
                <w:sz w:val="22"/>
                <w:szCs w:val="22"/>
              </w:rPr>
              <w:t>E：成品油、化工产品的销售（许可范围内）所涉及场所的相关环境管理活动</w:t>
            </w:r>
          </w:p>
          <w:p>
            <w:pPr>
              <w:snapToGrid w:val="0"/>
              <w:spacing w:line="0" w:lineRule="atLeast"/>
              <w:jc w:val="left"/>
              <w:rPr>
                <w:sz w:val="22"/>
                <w:szCs w:val="22"/>
              </w:rPr>
            </w:pPr>
            <w:r>
              <w:rPr>
                <w:sz w:val="22"/>
                <w:szCs w:val="22"/>
              </w:rPr>
              <w:t>O：成品油、化工产品的销售（许可范围内）所涉及场所的相关职业健康安全管理活动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中国（浙江）自由贸易试验区舟山市定海区舟山港综合保税区企业服务中心301-15199室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浙江省杭州市西湖区文二西路颐景园4-502</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Zhejiang Free Trade Zone Shanhui Energy Co., Ltd.</w:t>
            </w:r>
            <w:r>
              <w:rPr>
                <w:rFonts w:cs="Arial"/>
                <w:b/>
                <w:bCs/>
                <w:sz w:val="22"/>
                <w:szCs w:val="16"/>
              </w:rPr>
              <w:t xml:space="preserve"> </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refined oil and chemical products (within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The sale of refined oil and chemical products (within the scope of permission) involves the relevant environmental management activities of the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301-15199, Enterprise Service Center, Zhoushan Port Comprehensive Bonded Zone, Dinghai District, Zhoushan City, China (Zhejiang) Pilot Free Trade Zone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Sales of refined oil and chemical products (within the scope of permission) related occupational health and safety management activities of the site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4-502, Yijingyuan, Wener West Road, Xihu District, Hangzhou City, Zhejiang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702945" cy="373380"/>
                  <wp:effectExtent l="0" t="0" r="13335" b="7620"/>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5"/>
                          <a:stretch>
                            <a:fillRect/>
                          </a:stretch>
                        </pic:blipFill>
                        <pic:spPr>
                          <a:xfrm>
                            <a:off x="0" y="0"/>
                            <a:ext cx="702945" cy="373380"/>
                          </a:xfrm>
                          <a:prstGeom prst="rect">
                            <a:avLst/>
                          </a:prstGeom>
                        </pic:spPr>
                      </pic:pic>
                    </a:graphicData>
                  </a:graphic>
                </wp:inline>
              </w:drawing>
            </w:r>
          </w:p>
        </w:tc>
      </w:tr>
    </w:tbl>
    <w:p>
      <w:pPr>
        <w:snapToGrid w:val="0"/>
        <w:spacing w:line="0" w:lineRule="atLeast"/>
        <w:jc w:val="center"/>
        <w:rPr>
          <w:szCs w:val="24"/>
        </w:rPr>
      </w:pPr>
    </w:p>
    <w:p>
      <w:pPr>
        <w:snapToGrid w:val="0"/>
        <w:spacing w:line="0" w:lineRule="atLeast"/>
      </w:pPr>
      <w:bookmarkStart w:id="21" w:name="_GoBack"/>
      <w:bookmarkEnd w:id="21"/>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81FA8"/>
    <w:rsid w:val="00974045"/>
    <w:rsid w:val="00D81FA8"/>
    <w:rsid w:val="00E07347"/>
    <w:rsid w:val="00E727EB"/>
    <w:rsid w:val="05EF10FB"/>
    <w:rsid w:val="09F8609F"/>
    <w:rsid w:val="1DF47EFC"/>
    <w:rsid w:val="505226DD"/>
    <w:rsid w:val="54163A4F"/>
    <w:rsid w:val="7AA44B3E"/>
    <w:rsid w:val="7BF43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867</Words>
  <Characters>1670</Characters>
  <Lines>23</Lines>
  <Paragraphs>6</Paragraphs>
  <TotalTime>46</TotalTime>
  <ScaleCrop>false</ScaleCrop>
  <LinksUpToDate>false</LinksUpToDate>
  <CharactersWithSpaces>1896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李蒙生</cp:lastModifiedBy>
  <cp:lastPrinted>2019-05-13T03:13:00Z</cp:lastPrinted>
  <dcterms:modified xsi:type="dcterms:W3CDTF">2018-10-16T05:21:31Z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