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0261-2022-QEO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浙江自贸区闪汇能源有限公司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2022年03月29日 上午至2022年03月29日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ascii="宋体"/>
                <w:b/>
                <w:color w:val="000000"/>
                <w:szCs w:val="21"/>
              </w:rPr>
              <w:t>浙江省杭州市西湖区文二西路颐景园4-502</w:t>
            </w:r>
            <w:r>
              <w:rPr>
                <w:rFonts w:hint="eastAsia" w:ascii="宋体"/>
                <w:b/>
                <w:color w:val="000000"/>
                <w:szCs w:val="21"/>
                <w:lang w:eastAsia="zh-CN"/>
              </w:rPr>
              <w:t>（</w:t>
            </w:r>
            <w:r>
              <w:rPr>
                <w:rFonts w:hint="eastAsia" w:ascii="宋体"/>
                <w:b/>
                <w:color w:val="000000"/>
                <w:szCs w:val="21"/>
                <w:lang w:val="en-US" w:eastAsia="zh-CN"/>
              </w:rPr>
              <w:t>远程</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李蒙生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2020-N1QMS-1237307</w:t>
            </w:r>
          </w:p>
          <w:p>
            <w:pPr>
              <w:spacing w:line="240" w:lineRule="exact"/>
              <w:jc w:val="center"/>
              <w:rPr>
                <w:b/>
                <w:color w:val="000000"/>
                <w:szCs w:val="21"/>
              </w:rPr>
            </w:pPr>
            <w:r>
              <w:rPr>
                <w:b/>
                <w:color w:val="000000"/>
                <w:szCs w:val="21"/>
              </w:rPr>
              <w:t>2020-N1EMS-1237307</w:t>
            </w:r>
          </w:p>
          <w:p>
            <w:pPr>
              <w:spacing w:line="240" w:lineRule="exact"/>
              <w:jc w:val="center"/>
              <w:rPr>
                <w:b/>
                <w:color w:val="000000"/>
                <w:szCs w:val="21"/>
              </w:rPr>
            </w:pPr>
            <w:r>
              <w:rPr>
                <w:b/>
                <w:color w:val="000000"/>
                <w:szCs w:val="21"/>
              </w:rPr>
              <w:t>2020-N1OHSMS-1237307</w:t>
            </w:r>
          </w:p>
        </w:tc>
        <w:tc>
          <w:tcPr>
            <w:tcW w:w="1140" w:type="dxa"/>
            <w:vAlign w:val="center"/>
          </w:tcPr>
          <w:p>
            <w:pPr>
              <w:spacing w:line="240" w:lineRule="exact"/>
              <w:jc w:val="center"/>
              <w:rPr>
                <w:b/>
                <w:color w:val="000000"/>
                <w:szCs w:val="21"/>
              </w:rPr>
            </w:pPr>
            <w:r>
              <w:rPr>
                <w:b/>
                <w:color w:val="000000"/>
                <w:szCs w:val="21"/>
              </w:rPr>
              <w:t>Q:29.11.01,29.11.05</w:t>
            </w:r>
          </w:p>
          <w:p>
            <w:pPr>
              <w:spacing w:line="240" w:lineRule="exact"/>
              <w:jc w:val="center"/>
              <w:rPr>
                <w:b/>
                <w:color w:val="000000"/>
                <w:szCs w:val="21"/>
              </w:rPr>
            </w:pPr>
            <w:r>
              <w:rPr>
                <w:b/>
                <w:color w:val="000000"/>
                <w:szCs w:val="21"/>
              </w:rPr>
              <w:t>E:29.11.01,29.11.05</w:t>
            </w:r>
          </w:p>
          <w:p>
            <w:pPr>
              <w:spacing w:line="240" w:lineRule="exact"/>
              <w:jc w:val="center"/>
              <w:rPr>
                <w:b/>
                <w:color w:val="000000"/>
                <w:szCs w:val="21"/>
              </w:rPr>
            </w:pPr>
            <w:r>
              <w:rPr>
                <w:b/>
                <w:color w:val="000000"/>
                <w:szCs w:val="21"/>
              </w:rPr>
              <w:t>O:29.11.01,29.11.05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张亮</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2021-N0QMS-1280463</w:t>
            </w:r>
          </w:p>
        </w:tc>
        <w:tc>
          <w:tcPr>
            <w:tcW w:w="1140" w:type="dxa"/>
            <w:vAlign w:val="center"/>
          </w:tcPr>
          <w:p>
            <w:pPr>
              <w:spacing w:line="240" w:lineRule="exact"/>
              <w:jc w:val="center"/>
              <w:rPr>
                <w:b/>
                <w:color w:val="000000"/>
                <w:szCs w:val="21"/>
              </w:rPr>
            </w:pPr>
            <w:r>
              <w:rPr>
                <w:b/>
                <w:color w:val="000000"/>
                <w:szCs w:val="21"/>
              </w:rPr>
              <w:t>Q:29.11.05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浙江自贸区闪汇能源有限公司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中国（浙江）自由贸易试验区舟山市定海区舟山港综合保税区企业服务中心301-15199室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316000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浙江省杭州市西湖区文二西路颐景园4-502</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陈树春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13735508000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乔晓伟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陈树春</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b w:val="0"/>
                <w:bCs w:val="0"/>
                <w:sz w:val="21"/>
                <w:szCs w:val="21"/>
                <w:highlight w:val="none"/>
              </w:rPr>
              <w:t>成品油、化工产品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b w:val="0"/>
                <w:bCs w:val="0"/>
                <w:sz w:val="21"/>
                <w:szCs w:val="21"/>
                <w:highlight w:val="none"/>
              </w:rPr>
              <w:t>许可范围内的销售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val="0"/>
                <w:bCs w:val="0"/>
                <w:kern w:val="2"/>
                <w:sz w:val="21"/>
                <w:szCs w:val="21"/>
                <w:highlight w:val="none"/>
              </w:rPr>
              <w:t>确认需求</w:t>
            </w:r>
            <w:r>
              <w:rPr>
                <w:rFonts w:hint="eastAsia" w:ascii="宋体" w:hAnsi="宋体" w:eastAsia="宋体" w:cs="Times New Roman"/>
                <w:b w:val="0"/>
                <w:bCs w:val="0"/>
                <w:kern w:val="2"/>
                <w:sz w:val="21"/>
                <w:szCs w:val="21"/>
                <w:highlight w:val="none"/>
              </w:rPr>
              <w:t>—签订合同—组织货源—实施采购—检验—交付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t>成品油、化工产品的销售（许可范围内</w:t>
            </w:r>
            <w:r>
              <w:rPr>
                <w:rFonts w:hint="eastAsia"/>
                <w:lang w:eastAsia="zh-CN"/>
              </w:rPr>
              <w:t>）</w:t>
            </w:r>
          </w:p>
        </w:tc>
        <w:tc>
          <w:tcPr>
            <w:tcW w:w="2006" w:type="dxa"/>
            <w:gridSpan w:val="3"/>
            <w:vAlign w:val="center"/>
          </w:tcPr>
          <w:p>
            <w:pPr>
              <w:rPr>
                <w:rFonts w:ascii="宋体" w:hAnsi="宋体"/>
                <w:b/>
                <w:color w:val="000000"/>
                <w:szCs w:val="21"/>
              </w:rPr>
            </w:pPr>
            <w:r>
              <w:t>Q：29.11.01;29.11.05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成品油、化工产品的销售（许可范围内）所涉及场所的相关环境管理活动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E</w:t>
            </w:r>
            <w:r>
              <w:t>：29.11.01;29.11.05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成品油、化工产品的销售（许可范围内）所涉及场所的相关职业健康安全管理活动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O</w:t>
            </w:r>
            <w:r>
              <w:t>：29.11.01;29.11.05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2"/>
        <w:gridCol w:w="1932"/>
        <w:gridCol w:w="996"/>
        <w:gridCol w:w="1980"/>
        <w:gridCol w:w="231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35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99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31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352" w:type="dxa"/>
          </w:tcPr>
          <w:p>
            <w:pPr>
              <w:spacing w:before="40" w:after="40"/>
              <w:rPr>
                <w:rFonts w:hint="eastAsia" w:eastAsia="宋体"/>
                <w:szCs w:val="21"/>
                <w:lang w:val="de-DE" w:eastAsia="zh-CN"/>
              </w:rPr>
            </w:pPr>
            <w:r>
              <w:rPr>
                <w:sz w:val="21"/>
                <w:szCs w:val="21"/>
              </w:rPr>
              <w:t>浙江自贸区闪汇能源有限公司</w:t>
            </w:r>
            <w:r>
              <w:rPr>
                <w:rFonts w:hint="eastAsia"/>
                <w:sz w:val="21"/>
                <w:szCs w:val="21"/>
                <w:lang w:eastAsia="zh-CN"/>
              </w:rPr>
              <w:t>，</w:t>
            </w:r>
            <w:r>
              <w:rPr>
                <w:sz w:val="21"/>
                <w:szCs w:val="21"/>
              </w:rPr>
              <w:t>中国（浙江）自由贸易试验区舟山市定海区舟山港综合保税区企业服务中心301-15199室</w:t>
            </w:r>
          </w:p>
        </w:tc>
        <w:tc>
          <w:tcPr>
            <w:tcW w:w="1932" w:type="dxa"/>
          </w:tcPr>
          <w:p>
            <w:pPr>
              <w:spacing w:before="40" w:after="40"/>
              <w:rPr>
                <w:rFonts w:eastAsia="黑体"/>
                <w:szCs w:val="21"/>
                <w:lang w:val="de-DE" w:eastAsia="ja-JP"/>
              </w:rPr>
            </w:pPr>
            <w:r>
              <w:rPr>
                <w:sz w:val="21"/>
                <w:szCs w:val="21"/>
              </w:rPr>
              <w:t>浙江省杭州市西湖区文二西路颐景园4-502</w:t>
            </w:r>
          </w:p>
        </w:tc>
        <w:tc>
          <w:tcPr>
            <w:tcW w:w="996"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980" w:type="dxa"/>
            <w:vAlign w:val="center"/>
          </w:tcPr>
          <w:p>
            <w:r>
              <w:t>：成品油、化工产品的销售（许可范围内）</w:t>
            </w:r>
          </w:p>
          <w:p>
            <w:r>
              <w:t>E：成品油、化工产品的销售（许可范围内）所涉及场所的相关环境管理活动</w:t>
            </w:r>
          </w:p>
          <w:p>
            <w:pPr>
              <w:pStyle w:val="19"/>
              <w:rPr>
                <w:rFonts w:eastAsia="黑体" w:cs="Arial"/>
                <w:sz w:val="21"/>
                <w:szCs w:val="21"/>
                <w:lang w:val="en-US" w:eastAsia="ja-JP"/>
              </w:rPr>
            </w:pPr>
            <w:r>
              <w:t>O：成品油、化工产品的销售（许可范围内）所涉及场所的相关职业健康安全管理活动</w:t>
            </w:r>
          </w:p>
        </w:tc>
        <w:tc>
          <w:tcPr>
            <w:tcW w:w="2317" w:type="dxa"/>
            <w:vAlign w:val="center"/>
          </w:tcPr>
          <w:p>
            <w:pPr>
              <w:rPr>
                <w:rFonts w:ascii="宋体" w:hAnsi="宋体"/>
                <w:b/>
                <w:sz w:val="21"/>
                <w:szCs w:val="21"/>
              </w:rPr>
            </w:pPr>
            <w:r>
              <w:rPr>
                <w:rFonts w:hint="eastAsia" w:ascii="宋体" w:hAnsi="宋体"/>
                <w:b/>
                <w:sz w:val="21"/>
                <w:szCs w:val="21"/>
              </w:rPr>
              <w:t xml:space="preserve">■GB/T19001-2016/ISO 9001:2015  □GB/T 50430-2017    </w:t>
            </w:r>
          </w:p>
          <w:p>
            <w:pPr>
              <w:rPr>
                <w:rFonts w:ascii="宋体" w:hAnsi="宋体"/>
                <w:b/>
                <w:sz w:val="21"/>
                <w:szCs w:val="21"/>
              </w:rPr>
            </w:pPr>
            <w:r>
              <w:rPr>
                <w:rFonts w:hint="eastAsia" w:ascii="宋体" w:hAnsi="宋体"/>
                <w:b/>
                <w:sz w:val="21"/>
                <w:szCs w:val="21"/>
              </w:rPr>
              <w:t>■GB/T24001-2016/ISO 14001:2015 ■GB/T 45001-2020/ISO45001：2018</w:t>
            </w:r>
          </w:p>
          <w:p>
            <w:pPr>
              <w:spacing w:before="40" w:after="40"/>
              <w:rPr>
                <w:rFonts w:eastAsia="黑体"/>
                <w:szCs w:val="21"/>
                <w:lang w:eastAsia="ja-JP"/>
              </w:rPr>
            </w:pPr>
          </w:p>
        </w:tc>
        <w:tc>
          <w:tcPr>
            <w:tcW w:w="668" w:type="dxa"/>
            <w:shd w:val="clear" w:color="auto" w:fill="FFFFFF"/>
          </w:tcPr>
          <w:p>
            <w:pPr>
              <w:rPr>
                <w:rFonts w:eastAsia="黑体"/>
                <w:szCs w:val="21"/>
              </w:rPr>
            </w:pPr>
            <w:r>
              <w:rPr>
                <w:rFonts w:hint="eastAsia" w:ascii="宋体" w:hAnsi="宋体"/>
                <w:color w:val="000000"/>
                <w:spacing w:val="-10"/>
                <w:szCs w:val="21"/>
              </w:rPr>
              <w:sym w:font="Wingdings 2" w:char="0052"/>
            </w:r>
            <w:r>
              <w:rPr>
                <w:rFonts w:hint="eastAsia" w:ascii="宋体" w:hAnsi="宋体"/>
                <w:color w:val="000000"/>
                <w:szCs w:val="21"/>
              </w:rPr>
              <w:t>是</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w:t>
            </w:r>
            <w:bookmarkEnd w:id="35"/>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cs="Times New Roman"/>
                <w:b/>
                <w:color w:val="000000"/>
                <w:kern w:val="2"/>
                <w:sz w:val="21"/>
                <w:szCs w:val="21"/>
                <w:lang w:val="en-US" w:eastAsia="zh-CN" w:bidi="ar-SA"/>
              </w:rPr>
            </w:pPr>
            <w:r>
              <w:t>成品油、化工产品的销售（许可范围内</w:t>
            </w:r>
            <w:r>
              <w:rPr>
                <w:rFonts w:hint="eastAsia"/>
                <w:lang w:eastAsia="zh-CN"/>
              </w:rPr>
              <w:t>）</w:t>
            </w:r>
          </w:p>
        </w:tc>
        <w:tc>
          <w:tcPr>
            <w:tcW w:w="1541" w:type="dxa"/>
            <w:vAlign w:val="center"/>
          </w:tcPr>
          <w:p>
            <w:pPr>
              <w:rPr>
                <w:rFonts w:ascii="宋体" w:hAnsi="宋体" w:eastAsia="宋体" w:cs="Times New Roman"/>
                <w:b/>
                <w:color w:val="000000"/>
                <w:kern w:val="2"/>
                <w:sz w:val="21"/>
                <w:szCs w:val="21"/>
                <w:lang w:val="en-US" w:eastAsia="zh-CN" w:bidi="ar-SA"/>
              </w:rPr>
            </w:pPr>
            <w:r>
              <w:t>Q：29.11.01;29.11.05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成品油、化工产品的销售（许可范围内）所涉及场所的相关环境管理活动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lang w:val="en-US" w:eastAsia="zh-CN"/>
              </w:rPr>
              <w:t>E</w:t>
            </w:r>
            <w:r>
              <w:t>：29.11.01;29.11.05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成品油、化工产品的销售（许可范围内）所涉及场所的相关职业健康安全管理活动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lang w:val="en-US" w:eastAsia="zh-CN"/>
              </w:rPr>
              <w:t>O</w:t>
            </w:r>
            <w:r>
              <w:t>：29.11.01;29.11.05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2336" behindDoc="0" locked="0" layoutInCell="1" allowOverlap="1">
            <wp:simplePos x="0" y="0"/>
            <wp:positionH relativeFrom="column">
              <wp:posOffset>4503420</wp:posOffset>
            </wp:positionH>
            <wp:positionV relativeFrom="paragraph">
              <wp:posOffset>321310</wp:posOffset>
            </wp:positionV>
            <wp:extent cx="800735" cy="364490"/>
            <wp:effectExtent l="0" t="0" r="6985" b="1270"/>
            <wp:wrapNone/>
            <wp:docPr id="3" name="图片 3" descr="707ef659ca0740c9a894ee9394e6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7ef659ca0740c9a894ee9394e65a8"/>
                    <pic:cNvPicPr>
                      <a:picLocks noChangeAspect="1"/>
                    </pic:cNvPicPr>
                  </pic:nvPicPr>
                  <pic:blipFill>
                    <a:blip r:embed="rId6"/>
                    <a:stretch>
                      <a:fillRect/>
                    </a:stretch>
                  </pic:blipFill>
                  <pic:spPr>
                    <a:xfrm>
                      <a:off x="0" y="0"/>
                      <a:ext cx="800735" cy="364490"/>
                    </a:xfrm>
                    <a:prstGeom prst="rect">
                      <a:avLst/>
                    </a:prstGeom>
                  </pic:spPr>
                </pic:pic>
              </a:graphicData>
            </a:graphic>
          </wp:anchor>
        </w:drawing>
      </w: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1765935</wp:posOffset>
            </wp:positionH>
            <wp:positionV relativeFrom="paragraph">
              <wp:posOffset>311150</wp:posOffset>
            </wp:positionV>
            <wp:extent cx="601980" cy="319405"/>
            <wp:effectExtent l="0" t="0" r="7620" b="635"/>
            <wp:wrapNone/>
            <wp:docPr id="2" name="图片 2"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蒙生"/>
                    <pic:cNvPicPr>
                      <a:picLocks noChangeAspect="1"/>
                    </pic:cNvPicPr>
                  </pic:nvPicPr>
                  <pic:blipFill>
                    <a:blip r:embed="rId7"/>
                    <a:stretch>
                      <a:fillRect/>
                    </a:stretch>
                  </pic:blipFill>
                  <pic:spPr>
                    <a:xfrm>
                      <a:off x="0" y="0"/>
                      <a:ext cx="60198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eastAsia="宋体"/>
          <w:b/>
          <w:bCs/>
          <w:color w:val="000000"/>
          <w:szCs w:val="21"/>
          <w:lang w:eastAsia="zh-CN"/>
        </w:rPr>
        <w:drawing>
          <wp:anchor distT="0" distB="0" distL="114300" distR="114300" simplePos="0" relativeHeight="251663360" behindDoc="0" locked="0" layoutInCell="1" allowOverlap="1">
            <wp:simplePos x="0" y="0"/>
            <wp:positionH relativeFrom="column">
              <wp:posOffset>4602480</wp:posOffset>
            </wp:positionH>
            <wp:positionV relativeFrom="paragraph">
              <wp:posOffset>106680</wp:posOffset>
            </wp:positionV>
            <wp:extent cx="556895" cy="263525"/>
            <wp:effectExtent l="0" t="0" r="6985" b="1079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stretch>
                      <a:fillRect/>
                    </a:stretch>
                  </pic:blipFill>
                  <pic:spPr>
                    <a:xfrm>
                      <a:off x="0" y="0"/>
                      <a:ext cx="556895" cy="263525"/>
                    </a:xfrm>
                    <a:prstGeom prst="rect">
                      <a:avLst/>
                    </a:prstGeom>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2022.3.29</w:t>
      </w:r>
      <w:r>
        <w:rPr>
          <w:rFonts w:ascii="宋体" w:hAnsi="宋体"/>
          <w:b/>
          <w:color w:val="000000"/>
          <w:szCs w:val="21"/>
        </w:rPr>
        <w:t xml:space="preserve"> </w:t>
      </w:r>
    </w:p>
    <w:p>
      <w:pPr>
        <w:tabs>
          <w:tab w:val="left" w:pos="645"/>
        </w:tabs>
        <w:spacing w:after="156" w:afterLines="50" w:line="360" w:lineRule="exact"/>
        <w:rPr>
          <w:rFonts w:hint="eastAsia" w:ascii="宋体" w:hAnsi="宋体" w:eastAsia="宋体"/>
          <w:b/>
          <w:bCs/>
          <w:color w:val="000000"/>
          <w:szCs w:val="21"/>
          <w:lang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FE21A19"/>
    <w:rsid w:val="31F56102"/>
    <w:rsid w:val="6A87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5575</Words>
  <Characters>6496</Characters>
  <Lines>67</Lines>
  <Paragraphs>18</Paragraphs>
  <TotalTime>1</TotalTime>
  <ScaleCrop>false</ScaleCrop>
  <LinksUpToDate>false</LinksUpToDate>
  <CharactersWithSpaces>6585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2022-04-02T04:55:55Z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