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飞燕航空遥感技术有限公司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0063-2018-2022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0063-2018-2022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飞燕航空遥感技术有限公司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王鑫</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ISC-2018-0250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2023-05-24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2022年03月29日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jc w:val="left"/>
              <w:rPr>
                <w:rFonts w:hint="eastAsia" w:ascii="宋体" w:hAnsi="宋体"/>
                <w:szCs w:val="21"/>
              </w:rPr>
            </w:pPr>
            <w:r>
              <w:rPr>
                <w:rFonts w:hint="eastAsia" w:ascii="宋体" w:hAnsi="宋体"/>
                <w:szCs w:val="21"/>
                <w:lang w:val="en-US" w:eastAsia="zh-CN"/>
              </w:rPr>
              <w:t xml:space="preserve">李俐 </w:t>
            </w:r>
            <w:r>
              <w:rPr>
                <w:rFonts w:ascii="宋体" w:hAnsi="宋体" w:eastAsia="宋体" w:cs="Times New Roman"/>
                <w:szCs w:val="21"/>
              </w:rPr>
              <w:t>2021-M1MMS-2222792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both"/>
              <w:rPr>
                <w:rFonts w:hint="eastAsia" w:ascii="Times New Roman" w:hAnsi="Times New Roman" w:eastAsia="宋体" w:cs="Times New Roman"/>
                <w:bCs/>
                <w:sz w:val="18"/>
                <w:szCs w:val="18"/>
                <w:lang w:eastAsia="zh-CN"/>
              </w:rPr>
            </w:pPr>
            <w:r>
              <w:rPr>
                <w:rFonts w:hint="eastAsia" w:eastAsia="新宋体"/>
                <w:sz w:val="18"/>
                <w:szCs w:val="18"/>
              </w:rPr>
              <w:t>综合</w:t>
            </w:r>
            <w:r>
              <w:rPr>
                <w:rFonts w:hint="eastAsia" w:eastAsia="新宋体"/>
                <w:sz w:val="18"/>
                <w:szCs w:val="18"/>
                <w:lang w:eastAsia="zh-CN"/>
              </w:rPr>
              <w:t>办公室、</w:t>
            </w:r>
            <w:r>
              <w:rPr>
                <w:rFonts w:hint="eastAsia"/>
                <w:sz w:val="18"/>
                <w:szCs w:val="18"/>
              </w:rPr>
              <w:t>技术部</w:t>
            </w:r>
            <w:r>
              <w:rPr>
                <w:rFonts w:hint="eastAsia"/>
                <w:sz w:val="18"/>
                <w:szCs w:val="18"/>
                <w:lang w:eastAsia="zh-CN"/>
              </w:rPr>
              <w:t>、</w:t>
            </w:r>
            <w:r>
              <w:rPr>
                <w:rFonts w:hint="eastAsia" w:ascii="Times New Roman" w:hAnsi="Times New Roman" w:eastAsia="宋体" w:cs="Times New Roman"/>
                <w:bCs/>
                <w:sz w:val="18"/>
                <w:szCs w:val="18"/>
                <w:lang w:eastAsia="zh-CN"/>
              </w:rPr>
              <w:t>航</w:t>
            </w:r>
            <w:r>
              <w:rPr>
                <w:rFonts w:hint="eastAsia" w:ascii="Times New Roman" w:hAnsi="Times New Roman" w:eastAsia="宋体" w:cs="Times New Roman"/>
                <w:bCs/>
                <w:sz w:val="18"/>
                <w:szCs w:val="18"/>
                <w:lang w:val="en-US" w:eastAsia="zh-CN"/>
              </w:rPr>
              <w:t>飞</w:t>
            </w:r>
            <w:r>
              <w:rPr>
                <w:rFonts w:hint="eastAsia" w:ascii="Times New Roman" w:hAnsi="Times New Roman" w:eastAsia="宋体" w:cs="Times New Roman"/>
                <w:bCs/>
                <w:sz w:val="18"/>
                <w:szCs w:val="18"/>
                <w:lang w:eastAsia="zh-CN"/>
              </w:rPr>
              <w:t>部、</w:t>
            </w:r>
            <w:r>
              <w:rPr>
                <w:rFonts w:hint="eastAsia"/>
                <w:bCs/>
                <w:sz w:val="18"/>
                <w:szCs w:val="18"/>
              </w:rPr>
              <w:t>市场部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color w:val="000000" w:themeColor="text1"/>
          <w:kern w:val="0"/>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21</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3</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Style w:val="10"/>
          <w:rFonts w:ascii="宋体" w:eastAsia="宋体"/>
          <w:color w:val="0070C0"/>
          <w:sz w:val="21"/>
          <w:szCs w:val="21"/>
        </w:rPr>
      </w:pPr>
      <w:r>
        <w:rPr>
          <w:rStyle w:val="10"/>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公司于2021年10月14日组织了公司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bCs/>
          <w:color w:val="000000" w:themeColor="text1"/>
          <w:szCs w:val="21"/>
          <w:lang w:val="en-US" w:eastAsia="zh-CN"/>
          <w14:textFill>
            <w14:solidFill>
              <w14:schemeClr w14:val="tx1"/>
            </w14:solidFill>
          </w14:textFill>
        </w:rPr>
        <w:t>10</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日完成整改。</w:t>
      </w:r>
    </w:p>
    <w:p>
      <w:pPr>
        <w:spacing w:line="360" w:lineRule="auto"/>
        <w:rPr>
          <w:rStyle w:val="10"/>
          <w:rFonts w:hint="eastAsia" w:ascii="宋体" w:hAnsi="宋体" w:eastAsia="宋体" w:cs="宋体"/>
          <w:color w:val="000000" w:themeColor="text1"/>
          <w:sz w:val="21"/>
          <w:szCs w:val="21"/>
          <w14:textFill>
            <w14:solidFill>
              <w14:schemeClr w14:val="tx1"/>
            </w14:solidFill>
          </w14:textFill>
        </w:rPr>
      </w:pPr>
      <w:r>
        <w:rPr>
          <w:rStyle w:val="10"/>
          <w:rFonts w:hint="eastAsia" w:ascii="宋体" w:hAnsi="宋体" w:eastAsia="宋体" w:cs="宋体"/>
          <w:color w:val="000000" w:themeColor="text1"/>
          <w:sz w:val="21"/>
          <w:szCs w:val="21"/>
          <w14:textFill>
            <w14:solidFill>
              <w14:schemeClr w14:val="tx1"/>
            </w14:solidFill>
          </w14:textFill>
        </w:rPr>
        <w:t>2.2管理评审情况：</w:t>
      </w:r>
      <w:r>
        <w:rPr>
          <w:rFonts w:hint="eastAsia" w:ascii="宋体" w:hAnsi="宋体" w:eastAsia="宋体" w:cs="宋体"/>
          <w:color w:val="000000" w:themeColor="text1"/>
          <w:szCs w:val="21"/>
          <w14:textFill>
            <w14:solidFill>
              <w14:schemeClr w14:val="tx1"/>
            </w14:solidFill>
          </w14:textFill>
        </w:rPr>
        <w:t>企业于2021</w:t>
      </w:r>
      <w:r>
        <w:rPr>
          <w:rFonts w:hint="eastAsia" w:ascii="宋体" w:hAnsi="宋体" w:eastAsia="宋体" w:cs="宋体"/>
          <w:color w:val="000000" w:themeColor="text1"/>
          <w:szCs w:val="21"/>
          <w:lang w:val="en-US" w:eastAsia="zh-CN"/>
          <w14:textFill>
            <w14:solidFill>
              <w14:schemeClr w14:val="tx1"/>
            </w14:solidFill>
          </w14:textFill>
        </w:rPr>
        <w:t>年</w:t>
      </w:r>
      <w:r>
        <w:rPr>
          <w:rFonts w:hint="eastAsia"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lang w:val="en-US" w:eastAsia="zh-CN"/>
          <w14:textFill>
            <w14:solidFill>
              <w14:schemeClr w14:val="tx1"/>
            </w14:solidFill>
          </w14:textFill>
        </w:rPr>
        <w:t>月</w:t>
      </w:r>
      <w:r>
        <w:rPr>
          <w:rFonts w:hint="eastAsia" w:ascii="宋体" w:hAnsi="宋体" w:eastAsia="宋体" w:cs="宋体"/>
          <w:color w:val="000000" w:themeColor="text1"/>
          <w:szCs w:val="21"/>
          <w14:textFill>
            <w14:solidFill>
              <w14:schemeClr w14:val="tx1"/>
            </w14:solidFill>
          </w14:textFill>
        </w:rPr>
        <w:t>22</w:t>
      </w:r>
      <w:r>
        <w:rPr>
          <w:rFonts w:hint="eastAsia" w:ascii="宋体" w:hAnsi="宋体" w:eastAsia="宋体" w:cs="宋体"/>
          <w:color w:val="000000" w:themeColor="text1"/>
          <w:szCs w:val="21"/>
          <w:lang w:val="en-US" w:eastAsia="zh-CN"/>
          <w14:textFill>
            <w14:solidFill>
              <w14:schemeClr w14:val="tx1"/>
            </w14:solidFill>
          </w14:textFill>
        </w:rPr>
        <w:t>日，</w:t>
      </w:r>
      <w:r>
        <w:rPr>
          <w:rFonts w:hint="eastAsia" w:ascii="宋体" w:hAnsi="宋体" w:eastAsia="宋体" w:cs="宋体"/>
          <w:color w:val="000000" w:themeColor="text1"/>
          <w:szCs w:val="21"/>
          <w14:textFill>
            <w14:solidFill>
              <w14:schemeClr w14:val="tx1"/>
            </w14:solidFill>
          </w14:textFill>
        </w:rPr>
        <w:t>开展了测量管理体系管理评审，会议由公司</w:t>
      </w:r>
      <w:r>
        <w:rPr>
          <w:rFonts w:hint="eastAsia" w:ascii="宋体" w:hAnsi="宋体" w:eastAsia="宋体" w:cs="宋体"/>
          <w:color w:val="000000" w:themeColor="text1"/>
          <w:szCs w:val="21"/>
          <w:lang w:eastAsia="zh-CN"/>
          <w14:textFill>
            <w14:solidFill>
              <w14:schemeClr w14:val="tx1"/>
            </w14:solidFill>
          </w14:textFill>
        </w:rPr>
        <w:t>董事长</w:t>
      </w:r>
      <w:r>
        <w:rPr>
          <w:rFonts w:hint="eastAsia" w:ascii="宋体" w:hAnsi="宋体" w:eastAsia="宋体" w:cs="宋体"/>
          <w:color w:val="000000" w:themeColor="text1"/>
          <w:szCs w:val="21"/>
          <w:lang w:val="en-US" w:eastAsia="zh-CN"/>
          <w14:textFill>
            <w14:solidFill>
              <w14:schemeClr w14:val="tx1"/>
            </w14:solidFill>
          </w14:textFill>
        </w:rPr>
        <w:t>赵武</w:t>
      </w:r>
      <w:r>
        <w:rPr>
          <w:rFonts w:hint="eastAsia" w:ascii="宋体" w:hAnsi="宋体" w:eastAsia="宋体" w:cs="宋体"/>
          <w:color w:val="000000" w:themeColor="text1"/>
          <w:szCs w:val="21"/>
          <w14:textFill>
            <w14:solidFill>
              <w14:schemeClr w14:val="tx1"/>
            </w14:solidFill>
          </w14:textFill>
        </w:rPr>
        <w:t>主持，由管理者代表</w:t>
      </w:r>
      <w:r>
        <w:rPr>
          <w:rFonts w:hint="eastAsia" w:ascii="宋体" w:hAnsi="宋体" w:eastAsia="宋体" w:cs="宋体"/>
          <w:color w:val="000000" w:themeColor="text1"/>
          <w:szCs w:val="21"/>
          <w:lang w:eastAsia="zh-CN"/>
          <w14:textFill>
            <w14:solidFill>
              <w14:schemeClr w14:val="tx1"/>
            </w14:solidFill>
          </w14:textFill>
        </w:rPr>
        <w:t>屠晓艳</w:t>
      </w:r>
      <w:r>
        <w:rPr>
          <w:rFonts w:hint="eastAsia" w:ascii="宋体" w:hAnsi="宋体" w:eastAsia="宋体" w:cs="宋体"/>
          <w:color w:val="000000" w:themeColor="text1"/>
          <w:szCs w:val="21"/>
          <w14:textFill>
            <w14:solidFill>
              <w14:schemeClr w14:val="tx1"/>
            </w14:solidFill>
          </w14:textFill>
        </w:rPr>
        <w:t>汇报了内审结果、顾客反馈、测量体系目标完成情况、改进的建议等方面运行情况。会议分析了体系运行中存在的问题和不足和改进的建议，形成测量体系管理评审报告，肯定了公司测量管理体系的质量方针目标策划到位，整个测量管理体系实施运行的过程处于受控，有效和适宜。对公司测量管理体系目前存在的</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color w:val="000000" w:themeColor="text1"/>
        </w:rPr>
        <w:t>，采用计量</w:t>
      </w:r>
      <w:r>
        <w:rPr>
          <w:rFonts w:hint="eastAsia"/>
          <w:color w:val="000000" w:themeColor="text1"/>
          <w:lang w:val="en-US" w:eastAsia="zh-CN"/>
        </w:rPr>
        <w:t>器具</w:t>
      </w:r>
      <w:r>
        <w:rPr>
          <w:rFonts w:hint="eastAsia"/>
          <w:color w:val="000000" w:themeColor="text1"/>
        </w:rPr>
        <w:t>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val="en-US" w:eastAsia="zh-CN"/>
        </w:rPr>
        <w:t>全站仪测距</w:t>
      </w:r>
      <w:r>
        <w:rPr>
          <w:rFonts w:hint="eastAsia" w:ascii="宋体" w:hAnsi="宋体" w:cs="宋体"/>
          <w:color w:val="000000" w:themeColor="text1"/>
          <w:kern w:val="0"/>
          <w:szCs w:val="21"/>
        </w:rPr>
        <w:t>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ascii="宋体" w:hAnsi="宋体" w:eastAsia="宋体"/>
          <w:bCs/>
          <w:color w:val="000000" w:themeColor="text1"/>
          <w:szCs w:val="21"/>
          <w14:textFill>
            <w14:solidFill>
              <w14:schemeClr w14:val="tx1"/>
            </w14:solidFill>
          </w14:textFill>
        </w:rPr>
        <w:t>公司</w:t>
      </w:r>
      <w:r>
        <w:rPr>
          <w:rFonts w:hint="eastAsia" w:ascii="宋体" w:hAnsi="宋体" w:eastAsia="宋体"/>
          <w:bCs/>
          <w:color w:val="000000" w:themeColor="text1"/>
          <w:szCs w:val="21"/>
          <w:lang w:val="en-US" w:eastAsia="zh-CN"/>
          <w14:textFill>
            <w14:solidFill>
              <w14:schemeClr w14:val="tx1"/>
            </w14:solidFill>
          </w14:textFill>
        </w:rPr>
        <w:t>未</w:t>
      </w:r>
      <w:r>
        <w:rPr>
          <w:rFonts w:hint="eastAsia" w:ascii="宋体" w:hAnsi="宋体" w:eastAsia="宋体"/>
          <w:bCs/>
          <w:color w:val="000000" w:themeColor="text1"/>
          <w:szCs w:val="21"/>
          <w14:textFill>
            <w14:solidFill>
              <w14:schemeClr w14:val="tx1"/>
            </w14:solidFill>
          </w14:textFill>
        </w:rPr>
        <w:t>建最高标准，该公司的测量设备送检至南京市计量监督检测院等机构进行检定校准，抽查8份测量设备证书报告，根据抽查情况，该公司的校准情况符合溯源性要求</w:t>
      </w:r>
      <w:r>
        <w:rPr>
          <w:rFonts w:hint="eastAsia"/>
          <w:color w:val="000000" w:themeColor="text1"/>
          <w:szCs w:val="21"/>
          <w14:textFill>
            <w14:solidFill>
              <w14:schemeClr w14:val="tx1"/>
            </w14:solidFill>
          </w14:textFill>
        </w:rPr>
        <w:t>。祥见《测量设备溯源检查表》</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4.能源管理情况：</w:t>
      </w:r>
    </w:p>
    <w:p>
      <w:pPr>
        <w:spacing w:line="480" w:lineRule="auto"/>
        <w:ind w:firstLine="420" w:firstLineChars="200"/>
        <w:rPr>
          <w:rFonts w:hint="eastAsia"/>
          <w:color w:val="000000" w:themeColor="text1"/>
          <w14:textFill>
            <w14:solidFill>
              <w14:schemeClr w14:val="tx1"/>
            </w14:solidFill>
          </w14:textFill>
        </w:rPr>
      </w:pPr>
      <w:r>
        <w:rPr>
          <w:rFonts w:hint="eastAsia" w:ascii="宋体" w:hAnsi="宋体" w:eastAsia="宋体"/>
          <w:bCs/>
          <w:color w:val="000000" w:themeColor="text1"/>
          <w:szCs w:val="21"/>
        </w:rPr>
        <w:t>企业20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年耗能</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吨标准煤。</w:t>
      </w:r>
      <w:r>
        <w:rPr>
          <w:rFonts w:hint="eastAsia" w:ascii="宋体" w:hAnsi="宋体" w:eastAsia="宋体"/>
          <w:bCs/>
          <w:color w:val="000000" w:themeColor="text1"/>
          <w:szCs w:val="21"/>
          <w:lang w:val="en-US" w:eastAsia="zh-CN"/>
        </w:rPr>
        <w:t>不是</w:t>
      </w:r>
      <w:r>
        <w:rPr>
          <w:rFonts w:hint="eastAsia" w:ascii="宋体" w:hAnsi="宋体" w:eastAsia="宋体"/>
          <w:bCs/>
          <w:color w:val="000000" w:themeColor="text1"/>
          <w:szCs w:val="21"/>
        </w:rPr>
        <w:t>重点耗能单位，企业建立了能源测量设备明细表，</w:t>
      </w:r>
      <w:r>
        <w:rPr>
          <w:rFonts w:hint="eastAsia"/>
          <w:color w:val="000000" w:themeColor="text1"/>
          <w14:textFill>
            <w14:solidFill>
              <w14:schemeClr w14:val="tx1"/>
            </w14:solidFill>
          </w14:textFill>
        </w:rPr>
        <w:t>能源测量设备配备率满足要求，能源计量管理满足GB17167要求。</w:t>
      </w:r>
    </w:p>
    <w:p>
      <w:pPr>
        <w:spacing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5.对认证审核时提出的的不符合项的纠正措施情况有表述</w:t>
      </w:r>
      <w:r>
        <w:rPr>
          <w:color w:val="000000" w:themeColor="text1"/>
          <w14:textFill>
            <w14:solidFill>
              <w14:schemeClr w14:val="tx1"/>
            </w14:solidFill>
          </w14:textFill>
        </w:rPr>
        <w:t>： </w:t>
      </w:r>
    </w:p>
    <w:p>
      <w:pPr>
        <w:spacing w:line="48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查20</w:t>
      </w:r>
      <w:r>
        <w:rPr>
          <w:rFonts w:hint="eastAsia"/>
          <w:color w:val="000000" w:themeColor="text1"/>
          <w:lang w:val="en-US" w:eastAsia="zh-CN"/>
          <w14:textFill>
            <w14:solidFill>
              <w14:schemeClr w14:val="tx1"/>
            </w14:solidFill>
          </w14:textFill>
        </w:rPr>
        <w:t>21</w:t>
      </w:r>
      <w:r>
        <w:rPr>
          <w:rFonts w:hint="eastAsia"/>
          <w:color w:val="000000" w:themeColor="text1"/>
          <w14:textFill>
            <w14:solidFill>
              <w14:schemeClr w14:val="tx1"/>
            </w14:solidFill>
          </w14:textFill>
        </w:rPr>
        <w:t>年外审开出了一项不符合项报告：</w:t>
      </w:r>
      <w:r>
        <w:rPr>
          <w:rFonts w:hint="eastAsia"/>
          <w:color w:val="000000" w:themeColor="text1"/>
          <w:lang w:val="en-US" w:eastAsia="zh-CN"/>
          <w14:textFill>
            <w14:solidFill>
              <w14:schemeClr w14:val="tx1"/>
            </w14:solidFill>
          </w14:textFill>
        </w:rPr>
        <w:t>“未对河北大江仪器检测中心的资质、授权范围进行评价。”</w:t>
      </w:r>
      <w:r>
        <w:rPr>
          <w:rFonts w:hint="eastAsia"/>
          <w:color w:val="000000" w:themeColor="text1"/>
          <w14:textFill>
            <w14:solidFill>
              <w14:schemeClr w14:val="tx1"/>
            </w14:solidFill>
          </w14:textFill>
        </w:rPr>
        <w:t>企业对不符合组织了纠正，1.</w:t>
      </w:r>
      <w:r>
        <w:rPr>
          <w:rFonts w:hint="eastAsia"/>
          <w:color w:val="000000" w:themeColor="text1"/>
          <w:lang w:val="en-US" w:eastAsia="zh-CN"/>
          <w14:textFill>
            <w14:solidFill>
              <w14:schemeClr w14:val="tx1"/>
            </w14:solidFill>
          </w14:textFill>
        </w:rPr>
        <w:t>对该检测机构进行了评价</w:t>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对相关人员进行培训及及时完善了计量器具送检制定，</w:t>
      </w:r>
      <w:r>
        <w:rPr>
          <w:rFonts w:hint="eastAsia"/>
          <w:color w:val="000000" w:themeColor="text1"/>
          <w14:textFill>
            <w14:solidFill>
              <w14:schemeClr w14:val="tx1"/>
            </w14:solidFill>
          </w14:textFill>
        </w:rPr>
        <w:t>避免相同问题重复发生。验证该不符合项纠正措施有效，同意关闭。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1</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年1月到1</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用于企业的形象宣传。</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 本次监督审核</w:t>
      </w:r>
      <w:r>
        <w:rPr>
          <w:rFonts w:hint="eastAsia" w:ascii="宋体" w:hAnsi="宋体" w:eastAsia="宋体" w:cs="宋体"/>
          <w:color w:val="000000" w:themeColor="text1"/>
          <w:kern w:val="0"/>
          <w:szCs w:val="21"/>
          <w:lang w:val="en-US" w:eastAsia="zh-CN"/>
          <w14:textFill>
            <w14:solidFill>
              <w14:schemeClr w14:val="tx1"/>
            </w14:solidFill>
          </w14:textFill>
        </w:rPr>
        <w:t>未</w:t>
      </w:r>
      <w:r>
        <w:rPr>
          <w:rFonts w:hint="eastAsia" w:ascii="宋体" w:hAnsi="宋体" w:eastAsia="宋体" w:cs="宋体"/>
          <w:color w:val="000000" w:themeColor="text1"/>
          <w:kern w:val="0"/>
          <w:szCs w:val="21"/>
          <w14:textFill>
            <w14:solidFill>
              <w14:schemeClr w14:val="tx1"/>
            </w14:solidFill>
          </w14:textFill>
        </w:rPr>
        <w:t>出具一般不符合项，未发现严重的或系统性的不符合情况</w:t>
      </w:r>
      <w:r>
        <w:rPr>
          <w:rFonts w:hint="eastAsia" w:ascii="宋体" w:hAnsi="宋体" w:eastAsia="宋体" w:cs="宋体"/>
          <w:color w:val="000000" w:themeColor="text1"/>
          <w:kern w:val="0"/>
          <w:szCs w:val="21"/>
          <w:lang w:eastAsia="zh-CN"/>
          <w14:textFill>
            <w14:solidFill>
              <w14:schemeClr w14:val="tx1"/>
            </w14:solidFill>
          </w14:textFill>
        </w:rPr>
        <w:t>。</w:t>
      </w:r>
    </w:p>
    <w:p>
      <w:pPr>
        <w:snapToGrid w:val="0"/>
        <w:spacing w:line="360" w:lineRule="auto"/>
        <w:ind w:right="-512" w:rightChars="-244"/>
        <w:rPr>
          <w:rFonts w:hint="eastAsia" w:ascii="宋体" w:hAnsi="宋体" w:eastAsia="宋体" w:cs="宋体"/>
          <w:bCs/>
          <w:color w:val="000000" w:themeColor="text1"/>
          <w:sz w:val="21"/>
          <w:szCs w:val="21"/>
        </w:rPr>
      </w:pPr>
      <w:r>
        <w:rPr>
          <w:rFonts w:hint="eastAsia" w:ascii="宋体" w:hAnsi="宋体" w:eastAsia="宋体" w:cs="宋体"/>
          <w:b/>
          <w:bCs/>
          <w:color w:val="000000" w:themeColor="text1"/>
          <w:kern w:val="0"/>
          <w:sz w:val="21"/>
          <w:szCs w:val="21"/>
        </w:rPr>
        <w:t>三、监督审核结论意见</w:t>
      </w:r>
      <w:r>
        <w:rPr>
          <w:rFonts w:hint="eastAsia" w:ascii="宋体" w:hAnsi="宋体" w:eastAsia="宋体" w:cs="宋体"/>
          <w:bCs/>
          <w:color w:val="000000" w:themeColor="text1"/>
          <w:kern w:val="0"/>
          <w:sz w:val="21"/>
          <w:szCs w:val="21"/>
        </w:rPr>
        <w:t>(</w:t>
      </w:r>
      <w:r>
        <w:rPr>
          <w:rFonts w:hint="eastAsia" w:ascii="宋体" w:hAnsi="宋体" w:eastAsia="宋体" w:cs="宋体"/>
          <w:color w:val="000000" w:themeColor="text1"/>
          <w:kern w:val="0"/>
          <w:sz w:val="21"/>
          <w:szCs w:val="21"/>
        </w:rPr>
        <w:t>含需要说明的事项):</w:t>
      </w:r>
    </w:p>
    <w:p>
      <w:pPr>
        <w:snapToGrid w:val="0"/>
        <w:spacing w:line="360" w:lineRule="auto"/>
        <w:ind w:right="-512" w:rightChars="-244" w:firstLine="420" w:firstLineChars="200"/>
        <w:rPr>
          <w:rFonts w:hint="eastAsia" w:ascii="宋体" w:hAnsi="宋体" w:eastAsia="宋体" w:cs="宋体"/>
          <w:color w:val="000000" w:themeColor="text1"/>
          <w:sz w:val="21"/>
          <w:szCs w:val="21"/>
        </w:rPr>
      </w:pPr>
      <w:r>
        <w:rPr>
          <w:rFonts w:hint="eastAsia" w:ascii="宋体" w:hAnsi="宋体" w:eastAsia="宋体" w:cs="宋体"/>
          <w:bCs/>
          <w:color w:val="000000" w:themeColor="text1"/>
          <w:sz w:val="21"/>
          <w:szCs w:val="21"/>
        </w:rPr>
        <w:t>通过20</w:t>
      </w:r>
      <w:r>
        <w:rPr>
          <w:rFonts w:hint="eastAsia" w:ascii="宋体" w:hAnsi="宋体" w:eastAsia="宋体" w:cs="宋体"/>
          <w:bCs/>
          <w:color w:val="000000" w:themeColor="text1"/>
          <w:sz w:val="21"/>
          <w:szCs w:val="21"/>
          <w:lang w:val="en-US" w:eastAsia="zh-CN"/>
        </w:rPr>
        <w:t>22</w:t>
      </w:r>
      <w:r>
        <w:rPr>
          <w:rFonts w:hint="eastAsia" w:ascii="宋体" w:hAnsi="宋体" w:eastAsia="宋体" w:cs="宋体"/>
          <w:bCs/>
          <w:color w:val="000000" w:themeColor="text1"/>
          <w:sz w:val="21"/>
          <w:szCs w:val="21"/>
        </w:rPr>
        <w:t>年</w:t>
      </w:r>
      <w:r>
        <w:rPr>
          <w:rFonts w:hint="eastAsia" w:ascii="宋体" w:hAnsi="宋体" w:eastAsia="宋体" w:cs="宋体"/>
          <w:bCs/>
          <w:color w:val="000000" w:themeColor="text1"/>
          <w:sz w:val="21"/>
          <w:szCs w:val="21"/>
          <w:lang w:val="en-US" w:eastAsia="zh-CN"/>
        </w:rPr>
        <w:t>3</w:t>
      </w:r>
      <w:r>
        <w:rPr>
          <w:rFonts w:hint="eastAsia" w:ascii="宋体" w:hAnsi="宋体" w:eastAsia="宋体" w:cs="宋体"/>
          <w:bCs/>
          <w:color w:val="000000" w:themeColor="text1"/>
          <w:sz w:val="21"/>
          <w:szCs w:val="21"/>
        </w:rPr>
        <w:t>月</w:t>
      </w:r>
      <w:r>
        <w:rPr>
          <w:rFonts w:hint="eastAsia" w:ascii="宋体" w:hAnsi="宋体" w:eastAsia="宋体" w:cs="宋体"/>
          <w:bCs/>
          <w:color w:val="000000" w:themeColor="text1"/>
          <w:sz w:val="21"/>
          <w:szCs w:val="21"/>
          <w:lang w:val="en-US" w:eastAsia="zh-CN"/>
        </w:rPr>
        <w:t>29</w:t>
      </w:r>
      <w:r>
        <w:rPr>
          <w:rFonts w:hint="eastAsia" w:ascii="宋体" w:hAnsi="宋体" w:eastAsia="宋体" w:cs="宋体"/>
          <w:bCs/>
          <w:color w:val="000000" w:themeColor="text1"/>
          <w:sz w:val="21"/>
          <w:szCs w:val="21"/>
        </w:rPr>
        <w:t>日，对</w:t>
      </w:r>
      <w:r>
        <w:rPr>
          <w:rFonts w:hint="eastAsia" w:ascii="宋体" w:hAnsi="宋体" w:eastAsia="宋体" w:cs="宋体"/>
          <w:color w:val="000000" w:themeColor="text1"/>
          <w:sz w:val="21"/>
          <w:szCs w:val="21"/>
        </w:rPr>
        <w:t>飞燕航空遥感技术有限公司</w:t>
      </w:r>
      <w:r>
        <w:rPr>
          <w:rFonts w:hint="eastAsia" w:ascii="宋体" w:hAnsi="宋体" w:eastAsia="宋体" w:cs="宋体"/>
          <w:bCs/>
          <w:color w:val="000000" w:themeColor="text1"/>
          <w:sz w:val="2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宋体" w:hAnsi="宋体" w:eastAsia="宋体" w:cs="宋体"/>
          <w:color w:val="000000" w:themeColor="text1"/>
          <w:sz w:val="21"/>
          <w:szCs w:val="21"/>
        </w:rPr>
        <w:t>飞燕航空遥感技术有限公司</w:t>
      </w:r>
      <w:r>
        <w:rPr>
          <w:rFonts w:hint="eastAsia" w:ascii="宋体" w:hAnsi="宋体" w:eastAsia="宋体" w:cs="宋体"/>
          <w:bCs/>
          <w:color w:val="000000" w:themeColor="text1"/>
          <w:sz w:val="21"/>
          <w:szCs w:val="21"/>
        </w:rPr>
        <w:t>测量管理体系，符合GB/T 19022-2003标准要求，对体系运行具有持续的</w:t>
      </w:r>
      <w:r>
        <w:rPr>
          <w:rFonts w:hint="eastAsia" w:ascii="宋体" w:hAnsi="宋体" w:eastAsia="宋体" w:cs="宋体"/>
          <w:color w:val="000000" w:themeColor="text1"/>
          <w:sz w:val="21"/>
          <w:szCs w:val="21"/>
        </w:rPr>
        <w:t>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1360170</wp:posOffset>
            </wp:positionH>
            <wp:positionV relativeFrom="paragraph">
              <wp:posOffset>278765</wp:posOffset>
            </wp:positionV>
            <wp:extent cx="353695" cy="271780"/>
            <wp:effectExtent l="0" t="0" r="1905" b="762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53695" cy="271780"/>
                    </a:xfrm>
                    <a:prstGeom prst="rect">
                      <a:avLst/>
                    </a:prstGeom>
                  </pic:spPr>
                </pic:pic>
              </a:graphicData>
            </a:graphic>
          </wp:anchor>
        </w:drawing>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cs="宋体" w:asciiTheme="minorEastAsia" w:hAnsiTheme="minorEastAsia"/>
          <w:kern w:val="0"/>
          <w:szCs w:val="21"/>
        </w:rPr>
        <w:t xml:space="preserve">2022年03月29日 </w:t>
      </w:r>
      <w:bookmarkStart w:id="11" w:name="_GoBack"/>
      <w:bookmarkEnd w:id="11"/>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8653D8"/>
    <w:rsid w:val="12DD467F"/>
    <w:rsid w:val="15396E4C"/>
    <w:rsid w:val="4FDF1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2022-04-04T23:24:40Z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DBA761630B124832AB959736C34E8077</vt:lpwstr>
  </property>
</Properties>
</file>