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53"/>
        <w:gridCol w:w="733"/>
        <w:gridCol w:w="1416"/>
        <w:gridCol w:w="86"/>
        <w:gridCol w:w="1004"/>
        <w:gridCol w:w="934"/>
        <w:gridCol w:w="762"/>
        <w:gridCol w:w="256"/>
        <w:gridCol w:w="294"/>
        <w:gridCol w:w="538"/>
        <w:gridCol w:w="21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受审核方名称</w:t>
            </w:r>
          </w:p>
        </w:tc>
        <w:tc>
          <w:tcPr>
            <w:tcW w:w="9067" w:type="dxa"/>
            <w:gridSpan w:val="12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北京同得发餐饮管理有限公司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注册地址</w:t>
            </w:r>
          </w:p>
        </w:tc>
        <w:tc>
          <w:tcPr>
            <w:tcW w:w="906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北京市顺义区高丽营镇金马工业园二街4-5号（门牌号）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经营地址</w:t>
            </w:r>
          </w:p>
        </w:tc>
        <w:tc>
          <w:tcPr>
            <w:tcW w:w="906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北京市顺义区高丽营镇金马工业园二街4-5号（门牌号）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联系人"/>
            <w:r>
              <w:rPr>
                <w:sz w:val="18"/>
                <w:szCs w:val="18"/>
              </w:rPr>
              <w:t>骆丰收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4" w:name="联系人手机"/>
            <w:r>
              <w:rPr>
                <w:sz w:val="18"/>
                <w:szCs w:val="18"/>
              </w:rPr>
              <w:t>13717683411</w:t>
            </w:r>
            <w:bookmarkEnd w:id="4"/>
          </w:p>
        </w:tc>
        <w:tc>
          <w:tcPr>
            <w:tcW w:w="83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bookmarkStart w:id="5" w:name="最高管理者"/>
            <w:bookmarkEnd w:id="5"/>
            <w:r>
              <w:rPr>
                <w:sz w:val="18"/>
                <w:szCs w:val="18"/>
              </w:rPr>
              <w:t>骆丰收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副总经理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6" w:name="管代电话"/>
            <w:bookmarkEnd w:id="6"/>
            <w:r>
              <w:rPr>
                <w:sz w:val="18"/>
                <w:szCs w:val="18"/>
              </w:rPr>
              <w:t>13717683411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7" w:name="联系人邮箱"/>
            <w:r>
              <w:rPr>
                <w:sz w:val="18"/>
                <w:szCs w:val="18"/>
              </w:rPr>
              <w:t>xibao25@163.com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8" w:name="合同编号"/>
            <w:r>
              <w:rPr>
                <w:sz w:val="18"/>
                <w:szCs w:val="18"/>
              </w:rPr>
              <w:t>0231-2022-QEOFH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18"/>
                <w:szCs w:val="18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9"/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/>
                <w:spacing w:val="-2"/>
                <w:sz w:val="18"/>
                <w:szCs w:val="18"/>
              </w:rPr>
              <w:t>Ec</w:t>
            </w:r>
            <w:r>
              <w:rPr>
                <w:spacing w:val="-2"/>
                <w:sz w:val="18"/>
                <w:szCs w:val="18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0"/>
            <w:r>
              <w:rPr>
                <w:spacing w:val="-2"/>
                <w:sz w:val="18"/>
                <w:szCs w:val="18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1"/>
            <w:r>
              <w:rPr>
                <w:spacing w:val="-2"/>
                <w:sz w:val="18"/>
                <w:szCs w:val="18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9067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54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审核方法</w:t>
            </w:r>
          </w:p>
        </w:tc>
        <w:tc>
          <w:tcPr>
            <w:tcW w:w="906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254" w:type="dxa"/>
          </w:tcPr>
          <w:p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906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254" w:type="dxa"/>
          </w:tcPr>
          <w:p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906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9067" w:type="dxa"/>
            <w:gridSpan w:val="12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bookmarkStart w:id="21" w:name="审核范围"/>
            <w:r>
              <w:rPr>
                <w:sz w:val="18"/>
                <w:szCs w:val="18"/>
              </w:rPr>
              <w:t>Q：集体用餐配送（热食类食品制售）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E：集体用餐配送（热食类食品制售）所涉及场所的相关环境管理活动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O：集体用餐配送（热食类食品制售）所涉及场所的相关职业健康安全管理活动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F：位于北京市顺义区高丽营镇金马工业园二街4-5号（门牌号）北京同得发餐饮管理有限公司的集体用餐配送（热食类食品制售）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H：位于北京市顺义区高丽营镇金马工业园二街4-5号（门牌号）北京同得发餐饮管理有限公司的集体用餐配送（热食类食品制售）</w:t>
            </w:r>
            <w:bookmarkEnd w:id="21"/>
          </w:p>
        </w:tc>
        <w:tc>
          <w:tcPr>
            <w:tcW w:w="5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bookmarkStart w:id="22" w:name="专业代码"/>
            <w:r>
              <w:rPr>
                <w:sz w:val="18"/>
                <w:szCs w:val="18"/>
              </w:rPr>
              <w:t>Q：30.05.00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O：30.05.00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F：E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H：E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9067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18"/>
                <w:szCs w:val="18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18"/>
                <w:szCs w:val="18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26" w:name="S勾选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GB/T45001-2020/ISO45001：2020标准 </w:t>
            </w:r>
            <w:bookmarkStart w:id="27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8"/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18"/>
                <w:szCs w:val="18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18"/>
                <w:szCs w:val="18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）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9"/>
            <w:r>
              <w:rPr>
                <w:rFonts w:ascii="宋体" w:hAnsi="宋体"/>
                <w:b/>
                <w:sz w:val="18"/>
                <w:szCs w:val="18"/>
              </w:rPr>
              <w:t>GB/T 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jc w:val="left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906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18"/>
                <w:szCs w:val="18"/>
              </w:rPr>
              <w:t>2022年03月24日 下午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</w:t>
            </w:r>
            <w:r>
              <w:rPr>
                <w:rFonts w:hint="eastAsia"/>
                <w:b/>
                <w:sz w:val="18"/>
                <w:szCs w:val="18"/>
              </w:rPr>
              <w:t>至2022年03月27日 下午</w:t>
            </w:r>
            <w:bookmarkEnd w:id="30"/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17:30</w:t>
            </w:r>
            <w:r>
              <w:rPr>
                <w:rFonts w:hint="eastAsia"/>
                <w:b/>
                <w:sz w:val="18"/>
                <w:szCs w:val="18"/>
              </w:rPr>
              <w:t>(共</w:t>
            </w:r>
            <w:bookmarkStart w:id="31" w:name="审核天数"/>
            <w:r>
              <w:rPr>
                <w:rFonts w:hint="eastAsia"/>
                <w:b/>
                <w:sz w:val="18"/>
                <w:szCs w:val="18"/>
              </w:rPr>
              <w:t>3.5</w:t>
            </w:r>
            <w:bookmarkEnd w:id="31"/>
            <w:r>
              <w:rPr>
                <w:rFonts w:hint="eastAsia"/>
                <w:b/>
                <w:sz w:val="18"/>
                <w:szCs w:val="18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6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远程审核于2022年03月24日 下午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</w:t>
            </w:r>
            <w:r>
              <w:rPr>
                <w:rFonts w:hint="eastAsia"/>
                <w:b/>
                <w:sz w:val="18"/>
                <w:szCs w:val="18"/>
              </w:rPr>
              <w:t>至2022年03月27日 下午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17:30</w:t>
            </w:r>
            <w:r>
              <w:rPr>
                <w:rFonts w:hint="eastAsia"/>
                <w:b/>
                <w:sz w:val="18"/>
                <w:szCs w:val="18"/>
              </w:rPr>
              <w:t>(共3.5天)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[与现场审核同时进行]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906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张静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（现场审核）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2021-N1QMS-2011923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2021-N1EMS-4011923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2020-N1OHSMS-3011923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2020-N1FSMS-3011923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2021-N1HACCp-3011923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F:E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肖新龙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-B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（远程审核）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2020-N1QMS-1232380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2021-N1EMS-1232380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2021-N1OHSMS-1232380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O:30.05.00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F:E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实习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赵瑞双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-C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（现场审核）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2021-N0QMS-1217769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13601244691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实习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任泽华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-D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（远程审核）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ISC-59498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45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45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bookmarkStart w:id="32" w:name="审核派遣人"/>
            <w:r>
              <w:rPr>
                <w:sz w:val="18"/>
                <w:szCs w:val="18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13501146660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2022-03-23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1"/>
        <w:gridCol w:w="810"/>
        <w:gridCol w:w="3598"/>
        <w:gridCol w:w="270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日期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部门</w:t>
            </w: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过程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涉及条款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24下午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第一天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51" w:firstLineChars="100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13：00-13：30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首次会议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13：30-17：00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领导层</w:t>
            </w: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color w:val="auto"/>
                <w:sz w:val="15"/>
                <w:szCs w:val="15"/>
              </w:rPr>
              <w:t>总要求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内外部环境、相关方需求和期望识别、合规义务、</w:t>
            </w:r>
            <w:r>
              <w:rPr>
                <w:color w:val="auto"/>
                <w:sz w:val="15"/>
                <w:szCs w:val="15"/>
              </w:rPr>
              <w:t>方针和目标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管理体系范围、管理体系及其过程、领导作用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与承诺</w:t>
            </w:r>
            <w:r>
              <w:rPr>
                <w:rFonts w:hint="eastAsia"/>
                <w:color w:val="auto"/>
                <w:sz w:val="15"/>
                <w:szCs w:val="15"/>
              </w:rPr>
              <w:t>、</w:t>
            </w:r>
            <w:r>
              <w:rPr>
                <w:color w:val="auto"/>
                <w:sz w:val="15"/>
                <w:szCs w:val="15"/>
              </w:rPr>
              <w:t>岗位和职责、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管理方针、管理</w:t>
            </w:r>
            <w:r>
              <w:rPr>
                <w:rFonts w:hint="eastAsia"/>
                <w:color w:val="auto"/>
                <w:sz w:val="15"/>
                <w:szCs w:val="15"/>
              </w:rPr>
              <w:t>目标及其实现的策划、风险和机遇识别及应对措施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5"/>
                <w:szCs w:val="15"/>
              </w:rPr>
              <w:t>风险和机遇识别及应对措施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【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总则EO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】、</w:t>
            </w:r>
            <w:r>
              <w:rPr>
                <w:rFonts w:hint="eastAsia"/>
                <w:color w:val="auto"/>
                <w:sz w:val="15"/>
                <w:szCs w:val="15"/>
              </w:rPr>
              <w:t>变更的策划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应急准备和响应、资源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/资源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【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总则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】</w:t>
            </w:r>
            <w:r>
              <w:rPr>
                <w:rFonts w:hint="eastAsia"/>
                <w:color w:val="auto"/>
                <w:sz w:val="15"/>
                <w:szCs w:val="15"/>
              </w:rPr>
              <w:t>、沟通、食品安全文化、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文件化信息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【</w:t>
            </w:r>
            <w:r>
              <w:rPr>
                <w:rFonts w:hint="eastAsia"/>
                <w:color w:val="auto"/>
                <w:sz w:val="15"/>
                <w:szCs w:val="15"/>
              </w:rPr>
              <w:t>总则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】、</w:t>
            </w:r>
            <w:r>
              <w:rPr>
                <w:rFonts w:hint="eastAsia"/>
                <w:color w:val="auto"/>
                <w:sz w:val="15"/>
                <w:szCs w:val="15"/>
              </w:rPr>
              <w:t>运行策划和控制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监视测量分析和评价（总则）、内部审核、管理评审、改进（总则）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持续改进</w:t>
            </w: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</w:rPr>
              <w:t>、食品安全管理体系的更新</w:t>
            </w:r>
          </w:p>
          <w:p>
            <w:pPr>
              <w:pStyle w:val="2"/>
              <w:rPr>
                <w:color w:val="auto"/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Q:</w:t>
            </w:r>
            <w:r>
              <w:rPr>
                <w:color w:val="auto"/>
                <w:sz w:val="15"/>
                <w:szCs w:val="15"/>
              </w:rPr>
              <w:t>4.1</w:t>
            </w:r>
            <w:r>
              <w:rPr>
                <w:rFonts w:hint="eastAsia"/>
                <w:color w:val="auto"/>
                <w:sz w:val="15"/>
                <w:szCs w:val="15"/>
              </w:rPr>
              <w:t>-</w:t>
            </w:r>
            <w:r>
              <w:rPr>
                <w:color w:val="auto"/>
                <w:sz w:val="15"/>
                <w:szCs w:val="15"/>
              </w:rPr>
              <w:t>4.4/5.1/5.2/5.3/6.1/6.2/6.3</w:t>
            </w:r>
            <w:r>
              <w:rPr>
                <w:rFonts w:hint="eastAsia"/>
                <w:color w:val="auto"/>
                <w:sz w:val="15"/>
                <w:szCs w:val="15"/>
              </w:rPr>
              <w:t>/</w:t>
            </w:r>
            <w:r>
              <w:rPr>
                <w:color w:val="auto"/>
                <w:sz w:val="15"/>
                <w:szCs w:val="15"/>
              </w:rPr>
              <w:t>7.1</w:t>
            </w:r>
            <w:r>
              <w:rPr>
                <w:rFonts w:hint="eastAsia"/>
                <w:color w:val="auto"/>
                <w:sz w:val="15"/>
                <w:szCs w:val="15"/>
              </w:rPr>
              <w:t>.</w:t>
            </w:r>
            <w:r>
              <w:rPr>
                <w:color w:val="auto"/>
                <w:sz w:val="15"/>
                <w:szCs w:val="15"/>
              </w:rPr>
              <w:t>1/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7.4</w:t>
            </w:r>
            <w:r>
              <w:rPr>
                <w:color w:val="auto"/>
                <w:sz w:val="15"/>
                <w:szCs w:val="15"/>
              </w:rPr>
              <w:t>/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7.5.1/8.1/</w:t>
            </w:r>
            <w:r>
              <w:rPr>
                <w:color w:val="auto"/>
                <w:sz w:val="15"/>
                <w:szCs w:val="15"/>
              </w:rPr>
              <w:t>9.1.1/9.2/9.3/10.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1/</w:t>
            </w:r>
            <w:r>
              <w:rPr>
                <w:color w:val="auto"/>
                <w:sz w:val="15"/>
                <w:szCs w:val="15"/>
              </w:rPr>
              <w:t>10.3</w:t>
            </w:r>
          </w:p>
          <w:p>
            <w:pPr>
              <w:spacing w:line="300" w:lineRule="exact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E:</w:t>
            </w:r>
            <w:r>
              <w:rPr>
                <w:color w:val="auto"/>
                <w:sz w:val="15"/>
                <w:szCs w:val="15"/>
              </w:rPr>
              <w:t>4.1</w:t>
            </w:r>
            <w:r>
              <w:rPr>
                <w:rFonts w:hint="eastAsia"/>
                <w:color w:val="auto"/>
                <w:sz w:val="15"/>
                <w:szCs w:val="15"/>
              </w:rPr>
              <w:t>-</w:t>
            </w:r>
            <w:r>
              <w:rPr>
                <w:color w:val="auto"/>
                <w:sz w:val="15"/>
                <w:szCs w:val="15"/>
              </w:rPr>
              <w:t>4.4/5.1/5.2/5.3/6.1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.1</w:t>
            </w:r>
            <w:r>
              <w:rPr>
                <w:color w:val="auto"/>
                <w:sz w:val="15"/>
                <w:szCs w:val="15"/>
              </w:rPr>
              <w:t>/6.2</w:t>
            </w:r>
            <w:r>
              <w:rPr>
                <w:rFonts w:hint="eastAsia"/>
                <w:color w:val="auto"/>
                <w:sz w:val="15"/>
                <w:szCs w:val="15"/>
              </w:rPr>
              <w:t>/</w:t>
            </w:r>
            <w:r>
              <w:rPr>
                <w:color w:val="auto"/>
                <w:sz w:val="15"/>
                <w:szCs w:val="15"/>
              </w:rPr>
              <w:t>7.1/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7.4</w:t>
            </w:r>
            <w:r>
              <w:rPr>
                <w:color w:val="auto"/>
                <w:sz w:val="15"/>
                <w:szCs w:val="15"/>
              </w:rPr>
              <w:t>/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7.5.1/8.2/</w:t>
            </w:r>
            <w:r>
              <w:rPr>
                <w:color w:val="auto"/>
                <w:sz w:val="15"/>
                <w:szCs w:val="15"/>
                <w:highlight w:val="none"/>
              </w:rPr>
              <w:t>9.1.1</w:t>
            </w:r>
            <w:r>
              <w:rPr>
                <w:color w:val="auto"/>
                <w:sz w:val="15"/>
                <w:szCs w:val="15"/>
              </w:rPr>
              <w:t>/9.3/10.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1/</w:t>
            </w:r>
            <w:r>
              <w:rPr>
                <w:color w:val="auto"/>
                <w:sz w:val="15"/>
                <w:szCs w:val="15"/>
              </w:rPr>
              <w:t>10.3</w:t>
            </w:r>
          </w:p>
          <w:p>
            <w:pPr>
              <w:spacing w:line="300" w:lineRule="exact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OHS:</w:t>
            </w:r>
            <w:r>
              <w:rPr>
                <w:color w:val="auto"/>
                <w:sz w:val="15"/>
                <w:szCs w:val="15"/>
              </w:rPr>
              <w:t>4.1</w:t>
            </w:r>
            <w:r>
              <w:rPr>
                <w:rFonts w:hint="eastAsia"/>
                <w:color w:val="auto"/>
                <w:sz w:val="15"/>
                <w:szCs w:val="15"/>
              </w:rPr>
              <w:t>-</w:t>
            </w:r>
            <w:r>
              <w:rPr>
                <w:color w:val="auto"/>
                <w:sz w:val="15"/>
                <w:szCs w:val="15"/>
              </w:rPr>
              <w:t>4.4/5.1/5.2/5.3/6.1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.1</w:t>
            </w:r>
            <w:r>
              <w:rPr>
                <w:color w:val="auto"/>
                <w:sz w:val="15"/>
                <w:szCs w:val="15"/>
              </w:rPr>
              <w:t>/6.2/7.1</w:t>
            </w:r>
            <w:r>
              <w:rPr>
                <w:rFonts w:hint="eastAsia"/>
                <w:color w:val="auto"/>
                <w:sz w:val="15"/>
                <w:szCs w:val="15"/>
              </w:rPr>
              <w:t>.</w:t>
            </w:r>
            <w:r>
              <w:rPr>
                <w:color w:val="auto"/>
                <w:sz w:val="15"/>
                <w:szCs w:val="15"/>
              </w:rPr>
              <w:t>1/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7.4</w:t>
            </w:r>
            <w:r>
              <w:rPr>
                <w:color w:val="auto"/>
                <w:sz w:val="15"/>
                <w:szCs w:val="15"/>
              </w:rPr>
              <w:t>/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7.5.1/8.2/</w:t>
            </w:r>
            <w:r>
              <w:rPr>
                <w:color w:val="auto"/>
                <w:sz w:val="15"/>
                <w:szCs w:val="15"/>
                <w:highlight w:val="none"/>
              </w:rPr>
              <w:t>9.1.1/</w:t>
            </w:r>
            <w:r>
              <w:rPr>
                <w:color w:val="auto"/>
                <w:sz w:val="15"/>
                <w:szCs w:val="15"/>
              </w:rPr>
              <w:t>9.3/10.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1/</w:t>
            </w:r>
            <w:r>
              <w:rPr>
                <w:color w:val="auto"/>
                <w:sz w:val="15"/>
                <w:szCs w:val="15"/>
              </w:rPr>
              <w:t>10.3</w:t>
            </w:r>
          </w:p>
          <w:p>
            <w:pPr>
              <w:spacing w:line="300" w:lineRule="exact"/>
              <w:rPr>
                <w:rFonts w:hint="eastAsia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z w:val="15"/>
                <w:szCs w:val="15"/>
              </w:rPr>
              <w:t>F:4.1</w:t>
            </w:r>
            <w:r>
              <w:rPr>
                <w:rFonts w:hint="eastAsia"/>
                <w:color w:val="auto"/>
                <w:sz w:val="15"/>
                <w:szCs w:val="15"/>
              </w:rPr>
              <w:t>-</w:t>
            </w:r>
            <w:r>
              <w:rPr>
                <w:color w:val="auto"/>
                <w:sz w:val="15"/>
                <w:szCs w:val="15"/>
              </w:rPr>
              <w:t>4.4/5.1/5.2/5.3/6.1/6.2/6.3</w:t>
            </w:r>
            <w:r>
              <w:rPr>
                <w:rFonts w:hint="eastAsia"/>
                <w:color w:val="auto"/>
                <w:sz w:val="15"/>
                <w:szCs w:val="15"/>
              </w:rPr>
              <w:t>/</w:t>
            </w:r>
            <w:r>
              <w:rPr>
                <w:color w:val="auto"/>
                <w:sz w:val="15"/>
                <w:szCs w:val="15"/>
              </w:rPr>
              <w:t>7.1/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7.4/7.5.1/8.1/8.4/</w:t>
            </w:r>
            <w:r>
              <w:rPr>
                <w:color w:val="auto"/>
                <w:sz w:val="15"/>
                <w:szCs w:val="15"/>
              </w:rPr>
              <w:t>9.1.1/9.3/10.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2/</w:t>
            </w:r>
            <w:r>
              <w:rPr>
                <w:color w:val="auto"/>
                <w:sz w:val="15"/>
                <w:szCs w:val="15"/>
              </w:rPr>
              <w:t>10.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H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5"/>
                <w:szCs w:val="15"/>
              </w:rPr>
              <w:t>：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5"/>
                <w:szCs w:val="15"/>
              </w:rPr>
              <w:t>.1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/1.2.1/1.2.2</w:t>
            </w:r>
            <w:r>
              <w:rPr>
                <w:rFonts w:hint="eastAsia"/>
                <w:color w:val="auto"/>
                <w:sz w:val="15"/>
                <w:szCs w:val="15"/>
              </w:rPr>
              <w:t>/2.1-2.5/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3.1/</w:t>
            </w:r>
            <w:r>
              <w:rPr>
                <w:rFonts w:hint="eastAsia"/>
                <w:color w:val="auto"/>
                <w:sz w:val="15"/>
                <w:szCs w:val="15"/>
              </w:rPr>
              <w:t>3.13</w:t>
            </w:r>
            <w:r>
              <w:rPr>
                <w:color w:val="auto"/>
                <w:sz w:val="15"/>
                <w:szCs w:val="15"/>
              </w:rPr>
              <w:t>/5.4/5.5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C:Q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13：30-17：00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食品安全小组/HACCP小组</w:t>
            </w:r>
          </w:p>
        </w:tc>
        <w:tc>
          <w:tcPr>
            <w:tcW w:w="3598" w:type="dxa"/>
            <w:shd w:val="clear" w:color="auto" w:fill="auto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食品安全小组/HACCP组长及职责、</w:t>
            </w:r>
            <w:r>
              <w:rPr>
                <w:rFonts w:ascii="CIDFont" w:hAnsi="CIDFont" w:eastAsia="CIDFont" w:cs="CIDFont"/>
                <w:color w:val="000000"/>
                <w:kern w:val="0"/>
                <w:sz w:val="15"/>
                <w:szCs w:val="15"/>
                <w:lang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5"/>
                <w:szCs w:val="15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5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7.1.5/8.2/8.3/8.5/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H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: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2.5.1/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3.3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3.7/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/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3.11/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3.12/4.1-4.6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</w:t>
            </w:r>
            <w:r>
              <w:rPr>
                <w:rFonts w:hint="eastAsia"/>
                <w:sz w:val="15"/>
                <w:szCs w:val="15"/>
              </w:rPr>
              <w:t>：FH</w:t>
            </w:r>
          </w:p>
          <w:p>
            <w:pPr>
              <w:pStyle w:val="2"/>
              <w:rPr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D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17:00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第一天审核结束（4h）</w:t>
            </w:r>
          </w:p>
        </w:tc>
        <w:tc>
          <w:tcPr>
            <w:tcW w:w="270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2022-0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-2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5全天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第二天</w:t>
            </w:r>
          </w:p>
        </w:tc>
        <w:tc>
          <w:tcPr>
            <w:tcW w:w="810" w:type="dxa"/>
            <w:shd w:val="clear" w:color="auto" w:fill="auto"/>
          </w:tcPr>
          <w:p>
            <w:pPr>
              <w:rPr>
                <w:rFonts w:ascii="楷体_GB2312" w:eastAsia="楷体_GB2312"/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生产部部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及现场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部门职责、目标管理、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前提方案/良好卫生规范现场情况、基础设施、工作环境、标识和追溯/可追溯性、产品撤回/召回、应急准备和响应、生产和服务提供、产品防护、顾客财产、产品和服务的设计和开发、</w:t>
            </w:r>
            <w:r>
              <w:rPr>
                <w:rFonts w:hint="default"/>
                <w:sz w:val="15"/>
                <w:szCs w:val="15"/>
                <w:lang w:eastAsia="zh-CN"/>
              </w:rPr>
              <w:t>oprp/ccp</w:t>
            </w:r>
            <w:r>
              <w:rPr>
                <w:sz w:val="15"/>
                <w:szCs w:val="15"/>
                <w:lang w:eastAsia="zh-CN"/>
              </w:rPr>
              <w:t>的实施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致敏物管理、食品防护、食品欺诈管理等；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危险源识别及控制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现场运行控制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）、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环境/</w:t>
            </w:r>
            <w:r>
              <w:rPr>
                <w:rFonts w:hint="eastAsia"/>
                <w:color w:val="auto"/>
                <w:sz w:val="15"/>
                <w:szCs w:val="15"/>
              </w:rPr>
              <w:t>职业健康安全绩效控制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危险作业控制防雷检测、手持电动工具、公用工程（如配电室、锅炉房、空压站、尾气处理设备等）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:5.3/6.2/7.1.3/7.1.4/8.2/8.3/8.5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.6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F:5.3/6.2/7.1.3/7.1.4/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H:2.4.2/2.5.1/3.3/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3.4/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3.7/3.9/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3.11/3.12/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4.3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E: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6.1.2/6.1.4/6.2/8.1/8.2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6.1.2/6.1.4/6.2/8.1/8.2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员工代表</w:t>
            </w: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部门职责、目标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管理</w:t>
            </w:r>
            <w:r>
              <w:rPr>
                <w:rFonts w:hint="eastAsia"/>
                <w:sz w:val="15"/>
                <w:szCs w:val="15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sz w:val="15"/>
                <w:szCs w:val="15"/>
              </w:rPr>
              <w:t>环境因素识别和危险源辨识和评价，合规性评价</w:t>
            </w:r>
            <w:r>
              <w:rPr>
                <w:rFonts w:hint="eastAsia"/>
                <w:sz w:val="15"/>
                <w:szCs w:val="15"/>
                <w:lang w:eastAsia="zh-CN"/>
              </w:rPr>
              <w:t>，</w:t>
            </w:r>
            <w:r>
              <w:rPr>
                <w:sz w:val="15"/>
                <w:szCs w:val="15"/>
              </w:rPr>
              <w:t>目标指标和管理方案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辅助设施（</w:t>
            </w:r>
            <w:r>
              <w:rPr>
                <w:rFonts w:hint="eastAsia"/>
                <w:sz w:val="15"/>
                <w:szCs w:val="15"/>
              </w:rPr>
              <w:t>适用时，可包括</w:t>
            </w:r>
            <w:r>
              <w:rPr>
                <w:sz w:val="15"/>
                <w:szCs w:val="15"/>
              </w:rPr>
              <w:t>车辆控制、食堂、保洁、门卫）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健康安全事务参与情况，</w:t>
            </w:r>
            <w:r>
              <w:rPr>
                <w:color w:val="auto"/>
                <w:sz w:val="15"/>
                <w:szCs w:val="15"/>
              </w:rPr>
              <w:t>事故调查</w:t>
            </w:r>
            <w:r>
              <w:rPr>
                <w:rFonts w:hint="eastAsia"/>
                <w:color w:val="auto"/>
                <w:sz w:val="15"/>
                <w:szCs w:val="15"/>
              </w:rPr>
              <w:t>/</w:t>
            </w:r>
            <w:r>
              <w:rPr>
                <w:color w:val="auto"/>
                <w:sz w:val="15"/>
                <w:szCs w:val="15"/>
              </w:rPr>
              <w:t>沟通事故调查</w:t>
            </w:r>
            <w:r>
              <w:rPr>
                <w:rFonts w:hint="eastAsia"/>
                <w:color w:val="auto"/>
                <w:sz w:val="15"/>
                <w:szCs w:val="15"/>
              </w:rPr>
              <w:t>/</w:t>
            </w:r>
            <w:r>
              <w:rPr>
                <w:color w:val="auto"/>
                <w:sz w:val="15"/>
                <w:szCs w:val="15"/>
              </w:rPr>
              <w:t>沟通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Q：5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</w:t>
            </w:r>
            <w:r>
              <w:rPr>
                <w:rFonts w:hint="eastAsia"/>
                <w:sz w:val="15"/>
                <w:szCs w:val="15"/>
                <w:highlight w:val="none"/>
              </w:rPr>
              <w:t>7.1.2</w:t>
            </w:r>
            <w:r>
              <w:rPr>
                <w:sz w:val="15"/>
                <w:szCs w:val="15"/>
                <w:highlight w:val="none"/>
              </w:rPr>
              <w:t>/</w:t>
            </w:r>
            <w:r>
              <w:rPr>
                <w:rFonts w:hint="eastAsia"/>
                <w:sz w:val="15"/>
                <w:szCs w:val="15"/>
                <w:highlight w:val="none"/>
              </w:rPr>
              <w:t>7.1.6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</w:t>
            </w:r>
            <w:r>
              <w:rPr>
                <w:sz w:val="15"/>
                <w:szCs w:val="15"/>
                <w:highlight w:val="none"/>
              </w:rPr>
              <w:t>7.2/7.3/7.4/7.5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.2/</w:t>
            </w:r>
          </w:p>
          <w:p>
            <w:pPr>
              <w:rPr>
                <w:rFonts w:hint="default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7.5.3</w:t>
            </w: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</w:rPr>
              <w:t>9.1.3</w:t>
            </w: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/10.2</w:t>
            </w:r>
          </w:p>
          <w:p>
            <w:pP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</w:rPr>
            </w:pPr>
            <w:r>
              <w:rPr>
                <w:sz w:val="15"/>
                <w:szCs w:val="15"/>
                <w:highlight w:val="none"/>
              </w:rPr>
              <w:t>F</w:t>
            </w:r>
            <w:r>
              <w:rPr>
                <w:rFonts w:hint="eastAsia"/>
                <w:sz w:val="15"/>
                <w:szCs w:val="15"/>
                <w:highlight w:val="none"/>
              </w:rPr>
              <w:t>：5</w:t>
            </w:r>
            <w:r>
              <w:rPr>
                <w:sz w:val="15"/>
                <w:szCs w:val="15"/>
                <w:highlight w:val="none"/>
              </w:rPr>
              <w:t>.3</w:t>
            </w:r>
            <w:r>
              <w:rPr>
                <w:rFonts w:hint="eastAsia"/>
                <w:sz w:val="15"/>
                <w:szCs w:val="15"/>
                <w:highlight w:val="none"/>
              </w:rPr>
              <w:t>/</w:t>
            </w:r>
            <w:r>
              <w:rPr>
                <w:sz w:val="15"/>
                <w:szCs w:val="15"/>
                <w:highlight w:val="none"/>
              </w:rPr>
              <w:t>6.2/</w:t>
            </w:r>
            <w:r>
              <w:rPr>
                <w:rFonts w:hint="eastAsia"/>
                <w:sz w:val="15"/>
                <w:szCs w:val="15"/>
                <w:highlight w:val="none"/>
              </w:rPr>
              <w:t>7.1.2</w:t>
            </w:r>
            <w:r>
              <w:rPr>
                <w:sz w:val="15"/>
                <w:szCs w:val="15"/>
                <w:highlight w:val="none"/>
              </w:rPr>
              <w:t>/7.2/7.3/7.4/7.5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</w:rPr>
              <w:t>/</w:t>
            </w:r>
          </w:p>
          <w:p>
            <w:pPr>
              <w:rPr>
                <w:rFonts w:hint="default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</w:rPr>
              <w:t>9.1.</w:t>
            </w:r>
            <w:r>
              <w:rPr>
                <w:rFonts w:hint="eastAsia" w:asciiTheme="minorEastAsia" w:hAnsiTheme="minorEastAsia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2/10.1</w:t>
            </w:r>
          </w:p>
          <w:p>
            <w:pPr>
              <w:spacing w:line="300" w:lineRule="exact"/>
              <w:rPr>
                <w:rFonts w:hint="default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sz w:val="15"/>
                <w:szCs w:val="15"/>
                <w:highlight w:val="none"/>
              </w:rPr>
              <w:t>H:1.2.3/1.2.4/2.4.2/2.5.1/2.5.2.1/3.2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/5.1/5.3</w:t>
            </w:r>
          </w:p>
          <w:p>
            <w:pPr>
              <w:spacing w:line="300" w:lineRule="exact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color w:val="auto"/>
                <w:sz w:val="15"/>
                <w:szCs w:val="15"/>
                <w:highlight w:val="none"/>
              </w:rPr>
              <w:t>E: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5"/>
                <w:szCs w:val="15"/>
                <w:highlight w:val="none"/>
              </w:rPr>
              <w:t>6.1.2/6.1.3/6.1.4/6.2/8.1/8.2/9.1.2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/9.2/</w:t>
            </w:r>
            <w:r>
              <w:rPr>
                <w:color w:val="auto"/>
                <w:sz w:val="15"/>
                <w:szCs w:val="15"/>
                <w:highlight w:val="none"/>
              </w:rPr>
              <w:t>10.2</w:t>
            </w:r>
          </w:p>
          <w:p>
            <w:pPr>
              <w:pStyle w:val="2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color w:val="auto"/>
                <w:sz w:val="15"/>
                <w:szCs w:val="15"/>
                <w:highlight w:val="none"/>
              </w:rPr>
              <w:t>O: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5"/>
                <w:szCs w:val="15"/>
                <w:highlight w:val="none"/>
              </w:rPr>
              <w:t>6.1.2/6.1.3/6.1.4/6.2/8.1/8.2/9.1.2/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9.2/</w:t>
            </w:r>
            <w:r>
              <w:rPr>
                <w:color w:val="auto"/>
                <w:sz w:val="15"/>
                <w:szCs w:val="15"/>
                <w:highlight w:val="none"/>
              </w:rPr>
              <w:t>10.2</w:t>
            </w:r>
          </w:p>
          <w:p>
            <w:pPr>
              <w:pStyle w:val="2"/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O: 5.4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5"/>
                <w:szCs w:val="15"/>
              </w:rPr>
              <w:t>10.2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/7.4.2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D：H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12:30-13:00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午餐休息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13:00-17:30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生产部部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及现场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部门职责、目标管理、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前提方案/良好卫生规范现场情况、基础设施、工作环境、标识和追溯/可追溯性、产品撤回/召回、应急准备和响应、生产和服务提供、产品防护、顾客财产、产品和服务的设计和开发、</w:t>
            </w:r>
            <w:r>
              <w:rPr>
                <w:rFonts w:hint="default"/>
                <w:sz w:val="15"/>
                <w:szCs w:val="15"/>
                <w:lang w:eastAsia="zh-CN"/>
              </w:rPr>
              <w:t>oprp/ccp</w:t>
            </w:r>
            <w:r>
              <w:rPr>
                <w:sz w:val="15"/>
                <w:szCs w:val="15"/>
                <w:lang w:eastAsia="zh-CN"/>
              </w:rPr>
              <w:t>的实施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致敏物管理、食品防护、食品欺诈管理等；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危险源识别及控制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现场运行控制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）、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环境/</w:t>
            </w:r>
            <w:r>
              <w:rPr>
                <w:rFonts w:hint="eastAsia"/>
                <w:color w:val="auto"/>
                <w:sz w:val="15"/>
                <w:szCs w:val="15"/>
              </w:rPr>
              <w:t>职业健康安全绩效控制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危险作业控制防雷检测、手持电动工具、公用工程（如配电室、锅炉房、空压站、尾气处理设备等）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——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继续审核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:5.3/6.2/7.1.3/7.1.4/8.2/8.3/8.5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.6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F:5.3/6.2/7.1.3/7.1.4/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H:2.4.2/2.5.1/3.3/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3.4/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3.7/3.9/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3.11/3.12/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4.3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E: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6.1.2/6.1.4/6.2/8.1/8.2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6.1.2/6.1.4/6.2/8.1/8.2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13:00-17：30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员工代表</w:t>
            </w: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部门职责、目标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管理</w:t>
            </w:r>
            <w:r>
              <w:rPr>
                <w:rFonts w:hint="eastAsia"/>
                <w:sz w:val="15"/>
                <w:szCs w:val="15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sz w:val="15"/>
                <w:szCs w:val="15"/>
              </w:rPr>
              <w:t>环境因素识别和危险源辨识和评价，合规性评价</w:t>
            </w:r>
            <w:r>
              <w:rPr>
                <w:rFonts w:hint="eastAsia"/>
                <w:sz w:val="15"/>
                <w:szCs w:val="15"/>
                <w:lang w:eastAsia="zh-CN"/>
              </w:rPr>
              <w:t>，</w:t>
            </w:r>
            <w:r>
              <w:rPr>
                <w:sz w:val="15"/>
                <w:szCs w:val="15"/>
              </w:rPr>
              <w:t>目标指标和管理方案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辅助设施（</w:t>
            </w:r>
            <w:r>
              <w:rPr>
                <w:rFonts w:hint="eastAsia"/>
                <w:sz w:val="15"/>
                <w:szCs w:val="15"/>
              </w:rPr>
              <w:t>适用时，可包括</w:t>
            </w:r>
            <w:r>
              <w:rPr>
                <w:sz w:val="15"/>
                <w:szCs w:val="15"/>
              </w:rPr>
              <w:t>车辆控制、食堂、保洁、门卫）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等</w:t>
            </w:r>
          </w:p>
          <w:p>
            <w:pPr>
              <w:pStyle w:val="2"/>
              <w:rPr>
                <w:rFonts w:hint="eastAsia"/>
                <w:color w:val="auto"/>
                <w:sz w:val="15"/>
                <w:szCs w:val="15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健康安全事务参与情况，</w:t>
            </w:r>
            <w:r>
              <w:rPr>
                <w:color w:val="auto"/>
                <w:sz w:val="15"/>
                <w:szCs w:val="15"/>
              </w:rPr>
              <w:t>事故调查</w:t>
            </w:r>
            <w:r>
              <w:rPr>
                <w:rFonts w:hint="eastAsia"/>
                <w:color w:val="auto"/>
                <w:sz w:val="15"/>
                <w:szCs w:val="15"/>
              </w:rPr>
              <w:t>/</w:t>
            </w:r>
            <w:r>
              <w:rPr>
                <w:color w:val="auto"/>
                <w:sz w:val="15"/>
                <w:szCs w:val="15"/>
              </w:rPr>
              <w:t>沟通事故调查</w:t>
            </w:r>
            <w:r>
              <w:rPr>
                <w:rFonts w:hint="eastAsia"/>
                <w:color w:val="auto"/>
                <w:sz w:val="15"/>
                <w:szCs w:val="15"/>
              </w:rPr>
              <w:t>/</w:t>
            </w:r>
            <w:r>
              <w:rPr>
                <w:color w:val="auto"/>
                <w:sz w:val="15"/>
                <w:szCs w:val="15"/>
              </w:rPr>
              <w:t>沟通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——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继续审核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Q：5.3/6.2/7.1.2/7.1.6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7.2/7.3/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7.4/7.5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.2/7.5.3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9.2/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</w:rPr>
              <w:t>9.1.3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/10.2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F：5.3/6.2/7.1.2/7.2/7.3/7.4/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7.5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.2/7.5.3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9.2/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</w:rPr>
              <w:t>9.1.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  <w:highlight w:val="none"/>
                <w:lang w:val="en-US" w:eastAsia="zh-CN"/>
              </w:rPr>
              <w:t>2/10.1</w:t>
            </w:r>
          </w:p>
          <w:p>
            <w:pPr>
              <w:spacing w:line="300" w:lineRule="exact"/>
              <w:rPr>
                <w:rFonts w:hint="default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sz w:val="15"/>
                <w:szCs w:val="15"/>
                <w:highlight w:val="none"/>
              </w:rPr>
              <w:t>H:1.2.3/1.2.4/2.4.2/2.5.1/2.5.2.1/3.2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/5.1/5.3</w:t>
            </w:r>
          </w:p>
          <w:p>
            <w:pPr>
              <w:rPr>
                <w:rFonts w:hint="eastAsia"/>
                <w:color w:val="auto"/>
                <w:sz w:val="15"/>
                <w:szCs w:val="15"/>
                <w:highlight w:val="none"/>
              </w:rPr>
            </w:pPr>
            <w:r>
              <w:rPr>
                <w:color w:val="auto"/>
                <w:sz w:val="15"/>
                <w:szCs w:val="15"/>
                <w:highlight w:val="none"/>
              </w:rPr>
              <w:t xml:space="preserve">E: 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.3/6.1.2/6.1.3/6.1.4/6.2/7.2/7.3/7.4/</w:t>
            </w:r>
          </w:p>
          <w:p>
            <w:pPr>
              <w:rPr>
                <w:rFonts w:hint="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7.5/8.1/8.2/9.1.2/9.2/10.2</w:t>
            </w:r>
          </w:p>
          <w:p>
            <w:pPr>
              <w:rPr>
                <w:sz w:val="15"/>
                <w:szCs w:val="15"/>
                <w:highlight w:val="none"/>
              </w:rPr>
            </w:pPr>
            <w:r>
              <w:rPr>
                <w:color w:val="auto"/>
                <w:sz w:val="15"/>
                <w:szCs w:val="15"/>
                <w:highlight w:val="none"/>
              </w:rPr>
              <w:t>O: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5"/>
                <w:szCs w:val="15"/>
                <w:highlight w:val="none"/>
              </w:rPr>
              <w:t>6.1.2/6.1.3/6.1.4/6.2/</w:t>
            </w:r>
            <w:r>
              <w:rPr>
                <w:sz w:val="15"/>
                <w:szCs w:val="15"/>
                <w:highlight w:val="none"/>
              </w:rPr>
              <w:t>7.2/7.3/7.4/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sz w:val="15"/>
                <w:szCs w:val="15"/>
                <w:highlight w:val="none"/>
              </w:rPr>
              <w:t>7.5</w:t>
            </w: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/</w:t>
            </w:r>
            <w:r>
              <w:rPr>
                <w:color w:val="auto"/>
                <w:sz w:val="15"/>
                <w:szCs w:val="15"/>
                <w:highlight w:val="none"/>
              </w:rPr>
              <w:t>8.1/8.2/9.1.2/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9.2/</w:t>
            </w:r>
            <w:r>
              <w:rPr>
                <w:color w:val="auto"/>
                <w:sz w:val="15"/>
                <w:szCs w:val="15"/>
                <w:highlight w:val="none"/>
              </w:rPr>
              <w:t>10.2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OHS: 5.4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5"/>
                <w:szCs w:val="15"/>
              </w:rPr>
              <w:t>10.2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/7.4.2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D：H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none"/>
                <w:lang w:val="en-US" w:eastAsia="zh-CN"/>
              </w:rPr>
              <w:t>-17:30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财务部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资源提供、应急、事件不符合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15"/>
                <w:szCs w:val="15"/>
                <w:lang w:val="en-US" w:eastAsia="zh-CN"/>
              </w:rPr>
            </w:pPr>
            <w:bookmarkStart w:id="33" w:name="_GoBack"/>
            <w:r>
              <w:rPr>
                <w:rFonts w:hint="eastAsia"/>
                <w:sz w:val="15"/>
                <w:szCs w:val="15"/>
                <w:lang w:val="en-US" w:eastAsia="zh-CN"/>
              </w:rPr>
              <w:t>EMS: 7.1/8.2/10.2</w:t>
            </w:r>
          </w:p>
          <w:p>
            <w:pPr>
              <w:spacing w:line="30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OHS: 7.1/8.2/10.2</w:t>
            </w:r>
            <w:bookmarkEnd w:id="33"/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二</w:t>
            </w:r>
            <w:r>
              <w:rPr>
                <w:rFonts w:hint="eastAsia"/>
                <w:sz w:val="15"/>
                <w:szCs w:val="15"/>
              </w:rPr>
              <w:t>天结束（8h）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AB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2022-0</w:t>
            </w: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26全天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第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5"/>
                <w:szCs w:val="15"/>
              </w:rPr>
              <w:t>天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生产部部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及现场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部门职责、目标管理、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前提方案/良好卫生规范现场情况、基础设施、工作环境、标识和追溯/可追溯性、产品撤回/召回、应急准备和响应、生产和服务提供、产品防护、顾客财产、产品和服务的设计和开发、</w:t>
            </w:r>
            <w:r>
              <w:rPr>
                <w:rFonts w:hint="default"/>
                <w:sz w:val="15"/>
                <w:szCs w:val="15"/>
                <w:lang w:eastAsia="zh-CN"/>
              </w:rPr>
              <w:t>oprp/ccp</w:t>
            </w:r>
            <w:r>
              <w:rPr>
                <w:sz w:val="15"/>
                <w:szCs w:val="15"/>
                <w:lang w:eastAsia="zh-CN"/>
              </w:rPr>
              <w:t>的实施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致敏物管理、食品防护、食品欺诈管理等；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危险源识别及控制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现场运行控制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）、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环境/</w:t>
            </w:r>
            <w:r>
              <w:rPr>
                <w:rFonts w:hint="eastAsia"/>
                <w:color w:val="auto"/>
                <w:sz w:val="15"/>
                <w:szCs w:val="15"/>
              </w:rPr>
              <w:t>职业健康安全绩效控制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危险作业控制防雷检测、手持电动工具、公用工程（如配电室、锅炉房、空压站、尾气处理设备等）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——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继续审核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:5.3/6.2/7.1.3/7.1.4/8.2/8.3/8.5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.6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F:5.3/6.2/7.1.3/7.1.4/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H:2.4.2/2.5.1/3.3/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3.4/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3.7/3.9/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3.11/3.12/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4.3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E: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6.1.2/6.1.4/6.2/8.1/8.2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6.1.2/6.1.4/6.2/8.1/8.2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default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  <w:t>采购部</w:t>
            </w: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职责和权限、目标管理、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危险源识别评价和控制，现场运行情况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(EO)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措施的策划</w:t>
            </w:r>
            <w:r>
              <w:rPr>
                <w:rFonts w:hint="eastAsia"/>
                <w:color w:val="auto"/>
                <w:sz w:val="15"/>
                <w:szCs w:val="15"/>
              </w:rPr>
              <w:t>，前提方案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供应商管理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）</w:t>
            </w:r>
            <w:r>
              <w:rPr>
                <w:rFonts w:hint="eastAsia"/>
                <w:color w:val="auto"/>
                <w:sz w:val="15"/>
                <w:szCs w:val="15"/>
              </w:rPr>
              <w:t>，采购管理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/外部提供的过程产品及服务的控制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食品欺诈预防、沟通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Q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/7.4/</w:t>
            </w:r>
            <w:r>
              <w:rPr>
                <w:sz w:val="15"/>
                <w:szCs w:val="15"/>
              </w:rPr>
              <w:t>8.4</w:t>
            </w:r>
          </w:p>
          <w:p>
            <w:pPr>
              <w:spacing w:line="240" w:lineRule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cs="Arial"/>
                <w:sz w:val="15"/>
                <w:szCs w:val="15"/>
              </w:rPr>
              <w:t>F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7.1.6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</w:t>
            </w:r>
          </w:p>
          <w:p>
            <w:pPr>
              <w:spacing w:line="240" w:lineRule="auto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O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/7.4/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.1</w:t>
            </w:r>
          </w:p>
          <w:p>
            <w:pPr>
              <w:spacing w:line="240" w:lineRule="auto"/>
              <w:rPr>
                <w:sz w:val="15"/>
                <w:szCs w:val="15"/>
              </w:rPr>
            </w:pPr>
            <w:r>
              <w:rPr>
                <w:rFonts w:hint="eastAsia" w:cs="Arial"/>
                <w:sz w:val="15"/>
                <w:szCs w:val="15"/>
                <w:lang w:val="en-US" w:eastAsia="zh-CN"/>
              </w:rPr>
              <w:t>E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/7.4/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.1</w:t>
            </w:r>
          </w:p>
          <w:p>
            <w:pPr>
              <w:spacing w:line="240" w:lineRule="auto"/>
              <w:rPr>
                <w:rFonts w:hint="eastAsia" w:ascii="楷体_GB2312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5"/>
                <w:szCs w:val="15"/>
                <w:lang w:val="en-US" w:eastAsia="zh-CN" w:bidi="ar-SA"/>
              </w:rPr>
              <w:t>H：2.4.2/2.5.1/2.5.2.3/3.5</w:t>
            </w: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cs="Times New Roman"/>
                <w:kern w:val="2"/>
                <w:sz w:val="15"/>
                <w:szCs w:val="15"/>
                <w:lang w:val="en-US" w:eastAsia="zh-CN" w:bidi="ar-SA"/>
              </w:rPr>
              <w:t>3.12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B:QEOFH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D：H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12:30-13:00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午餐休息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  <w:t>13:00-17:30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生产部部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及现场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部门职责、目标管理、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前提方案/良好卫生规范现场情况、基础设施、工作环境、标识和追溯/可追溯性、产品撤回/召回、应急准备和响应、生产和服务提供、产品防护、顾客财产、产品和服务的设计和开发、</w:t>
            </w:r>
            <w:r>
              <w:rPr>
                <w:rFonts w:hint="default"/>
                <w:sz w:val="15"/>
                <w:szCs w:val="15"/>
                <w:lang w:eastAsia="zh-CN"/>
              </w:rPr>
              <w:t>oprp/ccp</w:t>
            </w:r>
            <w:r>
              <w:rPr>
                <w:sz w:val="15"/>
                <w:szCs w:val="15"/>
                <w:lang w:eastAsia="zh-CN"/>
              </w:rPr>
              <w:t>的实施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致敏物管理、食品防护、食品欺诈管理等；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危险源识别及控制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现场运行控制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）、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环境/</w:t>
            </w:r>
            <w:r>
              <w:rPr>
                <w:rFonts w:hint="eastAsia"/>
                <w:color w:val="auto"/>
                <w:sz w:val="15"/>
                <w:szCs w:val="15"/>
              </w:rPr>
              <w:t>职业健康安全绩效控制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危险作业控制防雷检测、手持电动工具、公用工程（如配电室、锅炉房、空压站、尾气处理设备等）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——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继续审核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:5.3/6.2/7.1.3/7.1.4/8.2/8.3/8.5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.6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F:5.3/6.2/7.1.3/7.1.4/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H:2.4.2/2.5.1/3.3/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3.4/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3.7/3.9/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3.11/3.12/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4.3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E: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6.1.2/6.1.4/6.2/8.1/8.2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6.1.2/6.1.4/6.2/8.1/8.2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  <w:t>13:00-17:30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  <w:t>采购部</w:t>
            </w: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ascii="楷体_GB2312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职责和权限、目标管理、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危险源识别评价和控制，现场运行情况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(EO)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措施的策划</w:t>
            </w:r>
            <w:r>
              <w:rPr>
                <w:rFonts w:hint="eastAsia"/>
                <w:color w:val="auto"/>
                <w:sz w:val="15"/>
                <w:szCs w:val="15"/>
              </w:rPr>
              <w:t>，前提方案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供应商管理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）</w:t>
            </w:r>
            <w:r>
              <w:rPr>
                <w:rFonts w:hint="eastAsia"/>
                <w:color w:val="auto"/>
                <w:sz w:val="15"/>
                <w:szCs w:val="15"/>
              </w:rPr>
              <w:t>，采购管理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/外部提供的过程产品及服务的控制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食品欺诈预防、沟通——继续审核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Q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/7.4/</w:t>
            </w:r>
            <w:r>
              <w:rPr>
                <w:sz w:val="15"/>
                <w:szCs w:val="15"/>
              </w:rPr>
              <w:t>8.4</w:t>
            </w:r>
          </w:p>
          <w:p>
            <w:pPr>
              <w:spacing w:line="240" w:lineRule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cs="Arial"/>
                <w:sz w:val="15"/>
                <w:szCs w:val="15"/>
              </w:rPr>
              <w:t>F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7.1.6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</w:t>
            </w:r>
          </w:p>
          <w:p>
            <w:pPr>
              <w:spacing w:line="240" w:lineRule="auto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O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/7.4/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.1</w:t>
            </w:r>
          </w:p>
          <w:p>
            <w:pPr>
              <w:spacing w:line="240" w:lineRule="auto"/>
              <w:rPr>
                <w:sz w:val="15"/>
                <w:szCs w:val="15"/>
              </w:rPr>
            </w:pPr>
            <w:r>
              <w:rPr>
                <w:rFonts w:hint="eastAsia" w:cs="Arial"/>
                <w:sz w:val="15"/>
                <w:szCs w:val="15"/>
                <w:lang w:val="en-US" w:eastAsia="zh-CN"/>
              </w:rPr>
              <w:t>E</w:t>
            </w:r>
            <w:r>
              <w:rPr>
                <w:rFonts w:hint="eastAsia" w:cs="Arial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</w:rPr>
              <w:t>5.3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6.1</w:t>
            </w:r>
            <w:r>
              <w:rPr>
                <w:sz w:val="15"/>
                <w:szCs w:val="15"/>
              </w:rPr>
              <w:t>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6.1.4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/>
                <w:sz w:val="15"/>
                <w:szCs w:val="15"/>
              </w:rPr>
              <w:t>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/7.4/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.1</w:t>
            </w:r>
          </w:p>
          <w:p>
            <w:pPr>
              <w:spacing w:line="240" w:lineRule="auto"/>
              <w:rPr>
                <w:rFonts w:hint="default" w:ascii="楷体_GB2312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5"/>
                <w:szCs w:val="15"/>
                <w:lang w:val="en-US" w:eastAsia="zh-CN" w:bidi="ar-SA"/>
              </w:rPr>
              <w:t>H：2.4.2/2.5.1/2.5.2.3/3.5</w:t>
            </w: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cs="Times New Roman"/>
                <w:kern w:val="2"/>
                <w:sz w:val="15"/>
                <w:szCs w:val="15"/>
                <w:lang w:val="en-US" w:eastAsia="zh-CN" w:bidi="ar-SA"/>
              </w:rPr>
              <w:t>3.12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B:QEOFH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D：H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17：30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审核结束结束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8h</w:t>
            </w:r>
            <w:r>
              <w:rPr>
                <w:rFonts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2022-0</w:t>
            </w: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27全天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第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5"/>
                <w:szCs w:val="15"/>
              </w:rPr>
              <w:t>天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9:00-12:30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质检部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部及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部门职责、目标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管理</w:t>
            </w:r>
            <w:r>
              <w:rPr>
                <w:sz w:val="15"/>
                <w:szCs w:val="15"/>
              </w:rPr>
              <w:t>、监视和测量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资源</w:t>
            </w:r>
            <w:r>
              <w:rPr>
                <w:sz w:val="15"/>
                <w:szCs w:val="15"/>
              </w:rPr>
              <w:t>的控制、产品放行、oprp/ccp的实施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sz w:val="15"/>
                <w:szCs w:val="15"/>
              </w:rPr>
              <w:t>不合格品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的控制</w:t>
            </w:r>
            <w:r>
              <w:rPr>
                <w:sz w:val="15"/>
                <w:szCs w:val="15"/>
              </w:rPr>
              <w:t>/产品和过程的不合格项控制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危险源识别评价和控制，现场运行情况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(EO)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措施的策划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</w:t>
            </w:r>
            <w:r>
              <w:rPr>
                <w:rFonts w:hint="eastAsia"/>
                <w:sz w:val="15"/>
                <w:szCs w:val="15"/>
              </w:rPr>
              <w:t>7.1.</w:t>
            </w:r>
            <w:r>
              <w:rPr>
                <w:sz w:val="15"/>
                <w:szCs w:val="15"/>
              </w:rPr>
              <w:t>5/8.6/8.7</w:t>
            </w:r>
          </w:p>
          <w:p>
            <w:pPr>
              <w:pStyle w:val="2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lang w:val="en-US" w:eastAsia="zh-CN"/>
              </w:rPr>
              <w:t>E:5.3/6.1.2/6.1.4/6.2/8.1</w:t>
            </w:r>
          </w:p>
          <w:p>
            <w:pPr>
              <w:pStyle w:val="2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lang w:val="en-US" w:eastAsia="zh-CN"/>
              </w:rPr>
              <w:t>O:5.3/6.1.2/6.1.4/6.2/8.1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</w:t>
            </w:r>
            <w:r>
              <w:rPr>
                <w:rFonts w:hint="eastAsia"/>
                <w:sz w:val="15"/>
                <w:szCs w:val="15"/>
              </w:rPr>
              <w:t>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6.2/8.5.4.5/8.7/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8.8/</w:t>
            </w:r>
            <w:r>
              <w:rPr>
                <w:sz w:val="15"/>
                <w:szCs w:val="15"/>
              </w:rPr>
              <w:t>8.9</w:t>
            </w:r>
            <w:r>
              <w:rPr>
                <w:rFonts w:hint="eastAsia"/>
                <w:sz w:val="15"/>
                <w:szCs w:val="15"/>
              </w:rPr>
              <w:t>.1-8.9.4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H:2.4.2/2.5.1</w:t>
            </w:r>
            <w:r>
              <w:rPr>
                <w:rFonts w:hint="eastAsia"/>
                <w:sz w:val="15"/>
                <w:szCs w:val="15"/>
              </w:rPr>
              <w:t>/3.8/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3.6/</w:t>
            </w:r>
            <w:r>
              <w:rPr>
                <w:sz w:val="15"/>
                <w:szCs w:val="15"/>
              </w:rPr>
              <w:t>4.3.4.3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/4.5/5.1.1-5.1.3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A:QEOFH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9:00-12:30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销售部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职责、</w:t>
            </w:r>
            <w:r>
              <w:rPr>
                <w:color w:val="auto"/>
                <w:sz w:val="15"/>
                <w:szCs w:val="15"/>
              </w:rPr>
              <w:t>目标</w:t>
            </w:r>
            <w:r>
              <w:rPr>
                <w:rFonts w:hint="eastAsia"/>
                <w:color w:val="auto"/>
                <w:sz w:val="15"/>
                <w:szCs w:val="15"/>
              </w:rPr>
              <w:t>管理</w:t>
            </w:r>
            <w:r>
              <w:rPr>
                <w:color w:val="auto"/>
                <w:sz w:val="15"/>
                <w:szCs w:val="15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产品服务的要求、与顾客有关的过程、产品交付及交付后活动；顾客沟通、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投诉处理、顾客满意</w:t>
            </w:r>
            <w:r>
              <w:rPr>
                <w:rFonts w:hint="eastAsia"/>
                <w:color w:val="auto"/>
                <w:sz w:val="15"/>
                <w:szCs w:val="15"/>
              </w:rPr>
              <w:t>；环境因素和危险源识别及控制，重要环境因素和不可接受风险及现场运行控制；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措施的策划、应急准备和响应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</w:t>
            </w:r>
            <w:r>
              <w:rPr>
                <w:sz w:val="15"/>
                <w:szCs w:val="15"/>
              </w:rPr>
              <w:t>:5.3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6.2/7.4/8.2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8.5.5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9.1.2</w:t>
            </w:r>
          </w:p>
          <w:p>
            <w:pPr>
              <w:spacing w:line="30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E:5.3/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sz w:val="15"/>
                <w:szCs w:val="15"/>
              </w:rPr>
              <w:t>.1.2/6.1.4/6.2/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7.4/</w:t>
            </w:r>
            <w:r>
              <w:rPr>
                <w:sz w:val="15"/>
                <w:szCs w:val="15"/>
              </w:rPr>
              <w:t>8.1/8.2</w:t>
            </w:r>
          </w:p>
          <w:p>
            <w:pPr>
              <w:spacing w:line="30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O</w:t>
            </w:r>
            <w:r>
              <w:rPr>
                <w:sz w:val="15"/>
                <w:szCs w:val="15"/>
              </w:rPr>
              <w:t>:5.3/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sz w:val="15"/>
                <w:szCs w:val="15"/>
              </w:rPr>
              <w:t>.1.2/6.1.4/6.2/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7.4/</w:t>
            </w:r>
            <w:r>
              <w:rPr>
                <w:sz w:val="15"/>
                <w:szCs w:val="15"/>
              </w:rPr>
              <w:t>8.1/8.2</w:t>
            </w:r>
          </w:p>
          <w:p>
            <w:pPr>
              <w:spacing w:line="300" w:lineRule="exact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:5.3/6.2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7.4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/8.9.5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H:2.4.2/2.5.1/2.5.2.3/5.2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B：QEOFH</w:t>
            </w:r>
          </w:p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D：H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12：</w:t>
            </w: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12：30-13：00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午餐休息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13:00-16：00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质检部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部及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部门职责、目标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管理</w:t>
            </w:r>
            <w:r>
              <w:rPr>
                <w:sz w:val="15"/>
                <w:szCs w:val="15"/>
              </w:rPr>
              <w:t>、监视和测量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资源</w:t>
            </w:r>
            <w:r>
              <w:rPr>
                <w:sz w:val="15"/>
                <w:szCs w:val="15"/>
              </w:rPr>
              <w:t>的控制、产品放行、oprp/ccp的实施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sz w:val="15"/>
                <w:szCs w:val="15"/>
              </w:rPr>
              <w:t>不合格品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的控制</w:t>
            </w:r>
            <w:r>
              <w:rPr>
                <w:sz w:val="15"/>
                <w:szCs w:val="15"/>
              </w:rPr>
              <w:t>/产品和过程的不合格项控制</w:t>
            </w: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5"/>
                <w:szCs w:val="15"/>
              </w:rPr>
              <w:t>危险源识别评价和控制，现场运行情况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(EO)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措施的策划——继续审核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</w:t>
            </w:r>
            <w:r>
              <w:rPr>
                <w:rFonts w:hint="eastAsia"/>
                <w:sz w:val="15"/>
                <w:szCs w:val="15"/>
              </w:rPr>
              <w:t>7.1.</w:t>
            </w:r>
            <w:r>
              <w:rPr>
                <w:sz w:val="15"/>
                <w:szCs w:val="15"/>
              </w:rPr>
              <w:t>5/8.6/8.7</w:t>
            </w:r>
          </w:p>
          <w:p>
            <w:pPr>
              <w:pStyle w:val="2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lang w:val="en-US" w:eastAsia="zh-CN"/>
              </w:rPr>
              <w:t>E:5.3/6.1.2/6.1.4/6.2/8.1</w:t>
            </w:r>
          </w:p>
          <w:p>
            <w:pPr>
              <w:pStyle w:val="2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lang w:val="en-US" w:eastAsia="zh-CN"/>
              </w:rPr>
              <w:t>O:5.3/6.1.2/6.1.4/6.2/8.1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</w:t>
            </w:r>
            <w:r>
              <w:rPr>
                <w:rFonts w:hint="eastAsia"/>
                <w:sz w:val="15"/>
                <w:szCs w:val="15"/>
              </w:rPr>
              <w:t>：5</w:t>
            </w:r>
            <w:r>
              <w:rPr>
                <w:sz w:val="15"/>
                <w:szCs w:val="15"/>
              </w:rPr>
              <w:t>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6.2/8.5.4.5/8.7/8.9</w:t>
            </w:r>
            <w:r>
              <w:rPr>
                <w:rFonts w:hint="eastAsia"/>
                <w:sz w:val="15"/>
                <w:szCs w:val="15"/>
              </w:rPr>
              <w:t>.1-8.9.4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H:2.4.2/2.5.1</w:t>
            </w:r>
            <w:r>
              <w:rPr>
                <w:rFonts w:hint="eastAsia"/>
                <w:sz w:val="15"/>
                <w:szCs w:val="15"/>
              </w:rPr>
              <w:t>/3.8/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3.6/</w:t>
            </w:r>
            <w:r>
              <w:rPr>
                <w:sz w:val="15"/>
                <w:szCs w:val="15"/>
              </w:rPr>
              <w:t>4.3.4.3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/5.1.1-5.1.3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A:QEOFH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13:00-16：00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销售部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职责、</w:t>
            </w:r>
            <w:r>
              <w:rPr>
                <w:color w:val="auto"/>
                <w:sz w:val="15"/>
                <w:szCs w:val="15"/>
              </w:rPr>
              <w:t>目标</w:t>
            </w:r>
            <w:r>
              <w:rPr>
                <w:rFonts w:hint="eastAsia"/>
                <w:color w:val="auto"/>
                <w:sz w:val="15"/>
                <w:szCs w:val="15"/>
              </w:rPr>
              <w:t>管理</w:t>
            </w:r>
            <w:r>
              <w:rPr>
                <w:color w:val="auto"/>
                <w:sz w:val="15"/>
                <w:szCs w:val="15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</w:rPr>
              <w:t>产品服务的要求、与顾客有关的过程、产品交付及交付后活动；顾客沟通、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投诉处理、顾客满意</w:t>
            </w:r>
            <w:r>
              <w:rPr>
                <w:rFonts w:hint="eastAsia"/>
                <w:color w:val="auto"/>
                <w:sz w:val="15"/>
                <w:szCs w:val="15"/>
              </w:rPr>
              <w:t>；环境因素和危险源识别及控制，重要环境因素和不可接受风险及现场运行控制；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措施的策划、应急准备和响应——继续审核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Q</w:t>
            </w:r>
            <w:r>
              <w:rPr>
                <w:sz w:val="15"/>
                <w:szCs w:val="15"/>
              </w:rPr>
              <w:t>:5.3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6.2/7.4/8.2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8.5.5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9.1.2</w:t>
            </w:r>
          </w:p>
          <w:p>
            <w:pPr>
              <w:spacing w:line="30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E:5.3/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sz w:val="15"/>
                <w:szCs w:val="15"/>
              </w:rPr>
              <w:t>.1.2/6.1.4/6.2/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7.4/</w:t>
            </w:r>
            <w:r>
              <w:rPr>
                <w:sz w:val="15"/>
                <w:szCs w:val="15"/>
              </w:rPr>
              <w:t>8.1/8.2</w:t>
            </w:r>
          </w:p>
          <w:p>
            <w:pPr>
              <w:spacing w:line="30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O</w:t>
            </w:r>
            <w:r>
              <w:rPr>
                <w:sz w:val="15"/>
                <w:szCs w:val="15"/>
              </w:rPr>
              <w:t>:5.3/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</w:t>
            </w:r>
            <w:r>
              <w:rPr>
                <w:sz w:val="15"/>
                <w:szCs w:val="15"/>
              </w:rPr>
              <w:t>.1.2/6.1.4/6.2/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7.4/</w:t>
            </w:r>
            <w:r>
              <w:rPr>
                <w:sz w:val="15"/>
                <w:szCs w:val="15"/>
              </w:rPr>
              <w:t>8.1/8.2</w:t>
            </w:r>
          </w:p>
          <w:p>
            <w:pPr>
              <w:spacing w:line="300" w:lineRule="exact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:5.3/6.2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r>
              <w:rPr>
                <w:sz w:val="15"/>
                <w:szCs w:val="15"/>
              </w:rPr>
              <w:t>7.4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/8.9.5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H:2.4.2/2.5.1/2.5.2.3/5.2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B：QEOFH</w:t>
            </w:r>
          </w:p>
          <w:p>
            <w:pPr>
              <w:pStyle w:val="2"/>
              <w:rPr>
                <w:rFonts w:hint="default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  <w:t>D：H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16:00-17:00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审核组内部沟通</w:t>
            </w:r>
          </w:p>
          <w:p>
            <w:pPr>
              <w:widowControl/>
              <w:jc w:val="left"/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审核组整理材料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审核组与企业领导、管代沟通</w:t>
            </w:r>
          </w:p>
        </w:tc>
        <w:tc>
          <w:tcPr>
            <w:tcW w:w="2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17：00-17：30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末次会议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17：30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审核结束结束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8h</w:t>
            </w:r>
            <w:r>
              <w:rPr>
                <w:rFonts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00" w:lineRule="exact"/>
              <w:rPr>
                <w:sz w:val="15"/>
                <w:szCs w:val="15"/>
              </w:rPr>
            </w:pP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注：</w:t>
            </w:r>
          </w:p>
        </w:tc>
        <w:tc>
          <w:tcPr>
            <w:tcW w:w="9465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HACCP体系审核中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任泽华（D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）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为实习；QMS体系审核中赵瑞双（C）为实习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B07BA"/>
    <w:rsid w:val="03DA4021"/>
    <w:rsid w:val="09AD7CCF"/>
    <w:rsid w:val="0F901F0C"/>
    <w:rsid w:val="1E3B1FCF"/>
    <w:rsid w:val="29AA75E0"/>
    <w:rsid w:val="2A954815"/>
    <w:rsid w:val="2B3F7C63"/>
    <w:rsid w:val="2DA608F6"/>
    <w:rsid w:val="2F9D6E59"/>
    <w:rsid w:val="53E6108E"/>
    <w:rsid w:val="62187A9E"/>
    <w:rsid w:val="648F6B59"/>
    <w:rsid w:val="67177D85"/>
    <w:rsid w:val="67CB6E9B"/>
    <w:rsid w:val="6AD70E0B"/>
    <w:rsid w:val="6CE40E49"/>
    <w:rsid w:val="6F727B9D"/>
    <w:rsid w:val="7B3B008E"/>
    <w:rsid w:val="7CE904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4176</Words>
  <Characters>7984</Characters>
  <Lines>37</Lines>
  <Paragraphs>10</Paragraphs>
  <TotalTime>0</TotalTime>
  <ScaleCrop>false</ScaleCrop>
  <LinksUpToDate>false</LinksUpToDate>
  <CharactersWithSpaces>8054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2022-03-26T07:00:46Z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