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cs="黑体"/>
          <w:b/>
          <w:bCs/>
          <w:sz w:val="28"/>
          <w:szCs w:val="28"/>
        </w:rPr>
        <w:t>尾管悬挂器</w:t>
      </w:r>
      <w:r>
        <w:rPr>
          <w:rFonts w:hint="eastAsia" w:ascii="宋体" w:hAnsi="宋体" w:cs="宋体"/>
          <w:b/>
          <w:sz w:val="28"/>
          <w:szCs w:val="28"/>
        </w:rPr>
        <w:t>卡瓦硬度检测过程</w:t>
      </w: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  <w:t>不确定评定报告</w:t>
      </w:r>
    </w:p>
    <w:p>
      <w:pPr>
        <w:spacing w:line="360" w:lineRule="auto"/>
        <w:rPr>
          <w:color w:val="000000"/>
          <w:sz w:val="24"/>
        </w:rPr>
      </w:pPr>
      <w:r>
        <w:rPr>
          <w:b/>
          <w:bCs/>
          <w:color w:val="000000"/>
          <w:sz w:val="24"/>
        </w:rPr>
        <w:t>1、测量过程</w:t>
      </w:r>
      <w:r>
        <w:rPr>
          <w:color w:val="000000"/>
          <w:sz w:val="24"/>
        </w:rPr>
        <w:br w:type="textWrapping"/>
      </w:r>
      <w:r>
        <w:rPr>
          <w:color w:val="000000"/>
          <w:sz w:val="24"/>
        </w:rPr>
        <w:t>1.1、测量方法：</w:t>
      </w:r>
      <w:r>
        <w:rPr>
          <w:sz w:val="24"/>
        </w:rPr>
        <w:t>依据GB/T230.1-2018《金属材料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洛氏硬度试验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第1部分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>试验方法》及仪器使用说明书和相关操作规范。</w:t>
      </w:r>
      <w:r>
        <w:rPr>
          <w:color w:val="000000"/>
          <w:sz w:val="24"/>
        </w:rPr>
        <w:t>　　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1.2、环境条件：温度</w:t>
      </w:r>
      <w:r>
        <w:rPr>
          <w:bCs/>
          <w:sz w:val="24"/>
        </w:rPr>
        <w:t>(10-35)℃</w:t>
      </w:r>
      <w:r>
        <w:rPr>
          <w:color w:val="000000"/>
          <w:sz w:val="24"/>
        </w:rPr>
        <w:t>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1.3、检测设备：</w:t>
      </w:r>
      <w:r>
        <w:rPr>
          <w:rFonts w:hint="eastAsia"/>
          <w:color w:val="000000"/>
          <w:sz w:val="24"/>
        </w:rPr>
        <w:t>HR-150</w:t>
      </w:r>
      <w:r>
        <w:rPr>
          <w:rFonts w:hint="eastAsia"/>
          <w:color w:val="000000"/>
          <w:sz w:val="24"/>
          <w:lang w:val="en-US" w:eastAsia="zh-CN"/>
        </w:rPr>
        <w:t>A</w:t>
      </w:r>
      <w:r>
        <w:rPr>
          <w:rFonts w:hint="eastAsia"/>
          <w:color w:val="000000"/>
          <w:sz w:val="24"/>
        </w:rPr>
        <w:t>型</w:t>
      </w:r>
      <w:r>
        <w:rPr>
          <w:color w:val="000000"/>
          <w:sz w:val="24"/>
        </w:rPr>
        <w:t>洛氏硬度计：测量范围（20～70)HRC；最大允许误差±1.5HRC；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1.4、被测对象：</w:t>
      </w:r>
      <w:r>
        <w:rPr>
          <w:rFonts w:hint="eastAsia" w:ascii="宋体" w:hAnsi="宋体" w:cs="黑体"/>
          <w:sz w:val="24"/>
        </w:rPr>
        <w:t>尾管悬挂器</w:t>
      </w:r>
      <w:r>
        <w:rPr>
          <w:bCs/>
          <w:sz w:val="24"/>
        </w:rPr>
        <w:t>卡瓦硬度</w:t>
      </w:r>
      <w:r>
        <w:rPr>
          <w:color w:val="000000"/>
          <w:sz w:val="24"/>
        </w:rPr>
        <w:t>(45~65)HRC。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1.5、测量过程：</w:t>
      </w:r>
      <w:r>
        <w:rPr>
          <w:sz w:val="24"/>
        </w:rPr>
        <w:t>采用直接测量法，将被测物体置于</w:t>
      </w:r>
      <w:r>
        <w:rPr>
          <w:rFonts w:hint="eastAsia"/>
          <w:sz w:val="24"/>
          <w:lang w:val="en-US" w:eastAsia="zh-CN"/>
        </w:rPr>
        <w:t>洛氏硬度计工作台</w:t>
      </w:r>
      <w:r>
        <w:rPr>
          <w:sz w:val="24"/>
        </w:rPr>
        <w:t>上，将硬度计压头压入工件，</w:t>
      </w:r>
      <w:r>
        <w:rPr>
          <w:rFonts w:hint="eastAsia"/>
          <w:sz w:val="24"/>
          <w:lang w:val="en-US" w:eastAsia="zh-CN"/>
        </w:rPr>
        <w:t>缓慢加载，</w:t>
      </w:r>
      <w:r>
        <w:rPr>
          <w:rFonts w:hint="eastAsia"/>
          <w:sz w:val="24"/>
        </w:rPr>
        <w:t>保荷一定时间，卸除载荷，读取硬度数据并记录数据</w:t>
      </w:r>
      <w:r>
        <w:rPr>
          <w:sz w:val="24"/>
        </w:rPr>
        <w:t>。</w:t>
      </w:r>
    </w:p>
    <w:p>
      <w:pPr>
        <w:snapToGrid w:val="0"/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2、数学模型</w:t>
      </w:r>
    </w:p>
    <w:p>
      <w:pPr>
        <w:autoSpaceDE w:val="0"/>
        <w:autoSpaceDN w:val="0"/>
        <w:spacing w:line="360" w:lineRule="auto"/>
        <w:rPr>
          <w:sz w:val="24"/>
        </w:rPr>
      </w:pPr>
      <w:r>
        <w:rPr>
          <w:sz w:val="24"/>
        </w:rPr>
        <w:t>2、数学模型：</w:t>
      </w:r>
    </w:p>
    <w:p>
      <w:pPr>
        <w:autoSpaceDE w:val="0"/>
        <w:autoSpaceDN w:val="0"/>
        <w:spacing w:line="360" w:lineRule="auto"/>
        <w:ind w:firstLine="2160" w:firstLineChars="900"/>
        <w:rPr>
          <w:sz w:val="24"/>
        </w:rPr>
      </w:pPr>
      <w:r>
        <w:rPr>
          <w:sz w:val="24"/>
        </w:rPr>
        <w:t xml:space="preserve">   </w:t>
      </w:r>
      <w:r>
        <w:rPr>
          <w:position w:val="-4"/>
          <w:sz w:val="24"/>
        </w:rPr>
        <w:object>
          <v:shape id="_x0000_i1025" o:spt="75" type="#_x0000_t75" style="height:12pt;width:38.1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sz w:val="24"/>
        </w:rPr>
        <w:t xml:space="preserve">                                     </w:t>
      </w:r>
    </w:p>
    <w:p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式中：</w:t>
      </w:r>
      <w:r>
        <w:rPr>
          <w:position w:val="-4"/>
          <w:sz w:val="24"/>
        </w:rPr>
        <w:object>
          <v:shape id="_x0000_i1026" o:spt="75" type="#_x0000_t75" style="height:11.15pt;width:17.1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sz w:val="24"/>
        </w:rPr>
        <w:t xml:space="preserve"> </w:t>
      </w:r>
      <w:r>
        <w:rPr>
          <w:rFonts w:hint="eastAsia"/>
          <w:sz w:val="24"/>
        </w:rPr>
        <w:t>-</w:t>
      </w:r>
      <w:r>
        <w:rPr>
          <w:sz w:val="24"/>
        </w:rPr>
        <w:t>---被测物件的硬度值</w:t>
      </w:r>
    </w:p>
    <w:p>
      <w:pPr>
        <w:spacing w:line="360" w:lineRule="auto"/>
        <w:ind w:left="120" w:firstLine="1920" w:firstLineChars="800"/>
        <w:rPr>
          <w:sz w:val="24"/>
        </w:rPr>
      </w:pPr>
      <w:r>
        <w:rPr>
          <w:position w:val="-4"/>
          <w:sz w:val="24"/>
        </w:rPr>
        <w:object>
          <v:shape id="_x0000_i1027" o:spt="75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sz w:val="24"/>
        </w:rPr>
        <w:t>----洛氏硬度计的读数值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输入量的不确定度</w:t>
      </w:r>
      <w:r>
        <w:rPr>
          <w:rFonts w:hint="eastAsia"/>
          <w:sz w:val="24"/>
        </w:rPr>
        <w:t>主</w:t>
      </w:r>
      <w:r>
        <w:rPr>
          <w:sz w:val="24"/>
        </w:rPr>
        <w:t>要来源于：测量重复性引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；测量设备引入的标准不确定度</w:t>
      </w:r>
      <w:r>
        <w:rPr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sz w:val="24"/>
        </w:rPr>
      </w:pPr>
      <w:r>
        <w:rPr>
          <w:sz w:val="24"/>
        </w:rPr>
        <w:t>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，通过</w:t>
      </w:r>
      <w:r>
        <w:rPr>
          <w:rFonts w:hint="eastAsia"/>
          <w:sz w:val="24"/>
          <w:lang w:val="en-US" w:eastAsia="zh-CN"/>
        </w:rPr>
        <w:t>对</w:t>
      </w:r>
      <w:r>
        <w:rPr>
          <w:rFonts w:hint="eastAsia" w:ascii="宋体" w:hAnsi="宋体" w:cs="黑体"/>
          <w:sz w:val="24"/>
        </w:rPr>
        <w:t>尾管悬挂器</w:t>
      </w:r>
      <w:r>
        <w:rPr>
          <w:bCs/>
          <w:sz w:val="24"/>
        </w:rPr>
        <w:t>卡瓦</w:t>
      </w:r>
      <w:r>
        <w:rPr>
          <w:sz w:val="24"/>
        </w:rPr>
        <w:t>连续测量5次，采用极差法进行A类方法评定。洛氏硬度计</w:t>
      </w:r>
      <w:r>
        <w:rPr>
          <w:rFonts w:hint="eastAsia"/>
          <w:sz w:val="24"/>
        </w:rPr>
        <w:t>处于</w:t>
      </w:r>
      <w:r>
        <w:rPr>
          <w:sz w:val="24"/>
        </w:rPr>
        <w:t>正常</w:t>
      </w:r>
      <w:r>
        <w:rPr>
          <w:rFonts w:hint="eastAsia"/>
          <w:sz w:val="24"/>
        </w:rPr>
        <w:t>使用</w:t>
      </w:r>
      <w:r>
        <w:rPr>
          <w:sz w:val="24"/>
        </w:rPr>
        <w:t>状态，人员、设备相同，在相临近的时间内，连续进行5次检测，得到5个试验数据汇于表一。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sz w:val="24"/>
        </w:rPr>
      </w:pPr>
      <w:r>
        <w:rPr>
          <w:kern w:val="0"/>
          <w:sz w:val="24"/>
        </w:rPr>
        <w:t>表一</w:t>
      </w:r>
      <w:r>
        <w:rPr>
          <w:sz w:val="24"/>
        </w:rPr>
        <w:t xml:space="preserve">                                         </w:t>
      </w:r>
    </w:p>
    <w:tbl>
      <w:tblPr>
        <w:tblStyle w:val="5"/>
        <w:tblW w:w="8013" w:type="dxa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119"/>
        <w:gridCol w:w="992"/>
        <w:gridCol w:w="993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检测序号</w:t>
            </w:r>
            <w:r>
              <w:rPr>
                <w:sz w:val="24"/>
              </w:rPr>
              <w:t>n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H测得值（HRC）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60.9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61.1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61.1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sz w:val="24"/>
              </w:rPr>
              <w:t>60.7</w:t>
            </w:r>
          </w:p>
        </w:tc>
      </w:tr>
    </w:tbl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测得结果的标准偏差用极差法计算</w:t>
      </w:r>
      <w:r>
        <w:rPr>
          <w:rFonts w:hint="eastAsia"/>
          <w:kern w:val="0"/>
          <w:sz w:val="24"/>
        </w:rPr>
        <w:t>：</w:t>
      </w:r>
    </w:p>
    <w:p>
      <w:pPr>
        <w:spacing w:line="360" w:lineRule="auto"/>
        <w:ind w:firstLine="960" w:firstLineChars="400"/>
        <w:rPr>
          <w:kern w:val="0"/>
          <w:sz w:val="24"/>
        </w:rPr>
      </w:pPr>
      <w:r>
        <w:rPr>
          <w:kern w:val="0"/>
          <w:sz w:val="24"/>
        </w:rPr>
        <w:t>极差值</w:t>
      </w:r>
      <w:r>
        <w:rPr>
          <w:rFonts w:hint="eastAsia"/>
          <w:kern w:val="0"/>
          <w:sz w:val="24"/>
        </w:rPr>
        <w:t>：</w:t>
      </w:r>
      <w:r>
        <w:rPr>
          <w:kern w:val="0"/>
          <w:sz w:val="24"/>
        </w:rPr>
        <w:t>R=61.1</w:t>
      </w:r>
      <w:r>
        <w:rPr>
          <w:rFonts w:hint="eastAsia"/>
          <w:kern w:val="0"/>
          <w:sz w:val="24"/>
        </w:rPr>
        <w:t>HRC</w:t>
      </w:r>
      <w:r>
        <w:rPr>
          <w:kern w:val="0"/>
          <w:sz w:val="24"/>
        </w:rPr>
        <w:t>-60.7</w:t>
      </w:r>
      <w:r>
        <w:rPr>
          <w:rFonts w:hint="eastAsia"/>
          <w:kern w:val="0"/>
          <w:sz w:val="24"/>
        </w:rPr>
        <w:t>HRC</w:t>
      </w:r>
      <w:r>
        <w:rPr>
          <w:kern w:val="0"/>
          <w:sz w:val="24"/>
        </w:rPr>
        <w:t>=0.4HRC</w:t>
      </w:r>
    </w:p>
    <w:p>
      <w:pPr>
        <w:spacing w:line="360" w:lineRule="auto"/>
        <w:ind w:firstLine="960" w:firstLineChars="400"/>
        <w:rPr>
          <w:kern w:val="0"/>
          <w:sz w:val="24"/>
        </w:rPr>
      </w:pPr>
      <w:r>
        <w:rPr>
          <w:rFonts w:hint="eastAsia"/>
          <w:kern w:val="0"/>
          <w:sz w:val="24"/>
        </w:rPr>
        <w:t>查表得：</w:t>
      </w:r>
      <w:r>
        <w:rPr>
          <w:kern w:val="0"/>
          <w:sz w:val="24"/>
        </w:rPr>
        <w:t>当n=5时，极差系数</w:t>
      </w:r>
      <w:r>
        <w:rPr>
          <w:rFonts w:hint="eastAsia"/>
          <w:kern w:val="0"/>
          <w:sz w:val="24"/>
        </w:rPr>
        <w:t>C=</w:t>
      </w:r>
      <w:r>
        <w:rPr>
          <w:kern w:val="0"/>
          <w:sz w:val="24"/>
        </w:rPr>
        <w:t>2.33，则：</w: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>被</w:t>
      </w:r>
      <w:r>
        <w:rPr>
          <w:kern w:val="0"/>
          <w:sz w:val="24"/>
        </w:rPr>
        <w:t>测量</w:t>
      </w:r>
      <w:r>
        <w:rPr>
          <w:rFonts w:hint="eastAsia"/>
          <w:kern w:val="0"/>
          <w:sz w:val="24"/>
        </w:rPr>
        <w:t>估计</w:t>
      </w:r>
      <w:r>
        <w:rPr>
          <w:kern w:val="0"/>
          <w:sz w:val="24"/>
        </w:rPr>
        <w:t>值的</w:t>
      </w:r>
      <w:r>
        <w:rPr>
          <w:rFonts w:hint="eastAsia"/>
          <w:kern w:val="0"/>
          <w:sz w:val="24"/>
        </w:rPr>
        <w:t>标准不确定度</w:t>
      </w:r>
      <w:r>
        <w:rPr>
          <w:kern w:val="0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m:oMathPara>
        <m:oMath>
          <m:r>
            <m:rPr/>
            <w:rPr>
              <w:rFonts w:ascii="Cambria Math" w:hAnsi="Cambria Math"/>
              <w:sz w:val="24"/>
            </w:rPr>
            <m:t>u</m:t>
          </m:r>
          <m:r>
            <m:rPr>
              <m:sty m:val="p"/>
            </m:rPr>
            <w:rPr>
              <w:rFonts w:ascii="Cambria Math" w:hAnsi="Cambria Math"/>
              <w:sz w:val="24"/>
              <w:vertAlign w:val="subscript"/>
            </w:rPr>
            <m:t>1</m:t>
          </m:r>
          <m:r>
            <m:rPr>
              <m:sty m:val="p"/>
            </m:rPr>
            <w:rPr>
              <w:rFonts w:hint="eastAsia" w:ascii="Cambria Math" w:hAnsi="Cambria Math"/>
              <w:sz w:val="24"/>
              <w:vertAlign w:val="subscript"/>
            </w:rPr>
            <m:t>=</m:t>
          </m:r>
          <m:r>
            <m:rPr>
              <m:sty m:val="p"/>
            </m:rPr>
            <w:rPr>
              <w:rFonts w:hint="eastAsia" w:ascii="Cambria Math" w:hAnsi="Cambria Math"/>
              <w:sz w:val="24"/>
            </w:rPr>
            <m:t>S</m:t>
          </m:r>
          <m:r>
            <m:rPr/>
            <w:rPr>
              <w:rFonts w:ascii="Cambria Math"/>
              <w:kern w:val="0"/>
              <w:sz w:val="24"/>
            </w:rPr>
            <m:t>=</m:t>
          </m:r>
          <m:f>
            <m:fPr>
              <m:ctrlPr>
                <w:rPr>
                  <w:rFonts w:ascii="Cambria Math"/>
                  <w:i/>
                  <w:kern w:val="0"/>
                  <w:sz w:val="24"/>
                </w:rPr>
              </m:ctrlPr>
            </m:fPr>
            <m:num>
              <m:r>
                <m:rPr/>
                <w:rPr>
                  <w:rFonts w:ascii="Cambria Math"/>
                  <w:kern w:val="0"/>
                  <w:sz w:val="24"/>
                </w:rPr>
                <m:t>R</m:t>
              </m:r>
              <m:ctrlPr>
                <w:rPr>
                  <w:rFonts w:ascii="Cambria Math"/>
                  <w:i/>
                  <w:kern w:val="0"/>
                  <w:sz w:val="24"/>
                </w:rPr>
              </m:ctrlPr>
            </m:num>
            <m:den>
              <m:r>
                <m:rPr/>
                <w:rPr>
                  <w:rFonts w:ascii="Cambria Math"/>
                  <w:kern w:val="0"/>
                  <w:sz w:val="24"/>
                </w:rPr>
                <m:t>C</m:t>
              </m:r>
              <m:rad>
                <m:radPr>
                  <m:degHide m:val="1"/>
                  <m:ctrlPr>
                    <w:rPr>
                      <w:rFonts w:ascii="Cambria Math"/>
                      <w:i/>
                      <w:kern w:val="0"/>
                      <w:sz w:val="24"/>
                    </w:rPr>
                  </m:ctrlPr>
                </m:radPr>
                <m:deg>
                  <m:ctrlPr>
                    <w:rPr>
                      <w:rFonts w:ascii="Cambria Math"/>
                      <w:i/>
                      <w:kern w:val="0"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/>
                      <w:kern w:val="0"/>
                      <w:sz w:val="24"/>
                    </w:rPr>
                    <m:t>n</m:t>
                  </m:r>
                  <m:ctrlPr>
                    <w:rPr>
                      <w:rFonts w:ascii="Cambria Math"/>
                      <w:i/>
                      <w:kern w:val="0"/>
                      <w:sz w:val="24"/>
                    </w:rPr>
                  </m:ctrlPr>
                </m:e>
              </m:rad>
              <m:ctrlPr>
                <w:rPr>
                  <w:rFonts w:ascii="Cambria Math"/>
                  <w:i/>
                  <w:kern w:val="0"/>
                  <w:sz w:val="24"/>
                </w:rPr>
              </m:ctrlPr>
            </m:den>
          </m:f>
          <m:r>
            <m:rPr/>
            <w:rPr>
              <w:rFonts w:ascii="Cambria Math"/>
              <w:kern w:val="0"/>
              <w:sz w:val="24"/>
            </w:rPr>
            <m:t>=</m:t>
          </m:r>
          <m:f>
            <m:fPr>
              <m:ctrlPr>
                <w:rPr>
                  <w:rFonts w:ascii="Cambria Math"/>
                  <w:i/>
                  <w:kern w:val="0"/>
                  <w:sz w:val="24"/>
                </w:rPr>
              </m:ctrlPr>
            </m:fPr>
            <m:num>
              <m:r>
                <m:rPr/>
                <w:rPr>
                  <w:rFonts w:ascii="Cambria Math"/>
                  <w:kern w:val="0"/>
                  <w:sz w:val="24"/>
                </w:rPr>
                <m:t>0.4</m:t>
              </m:r>
              <m:r>
                <m:rPr/>
                <w:rPr>
                  <w:rFonts w:hint="default" w:ascii="Cambria Math"/>
                  <w:kern w:val="0"/>
                  <w:sz w:val="24"/>
                  <w:lang w:val="en-US" w:eastAsia="zh-CN"/>
                </w:rPr>
                <m:t>HRC</m:t>
              </m:r>
              <m:ctrlPr>
                <w:rPr>
                  <w:rFonts w:ascii="Cambria Math"/>
                  <w:i/>
                  <w:kern w:val="0"/>
                  <w:sz w:val="24"/>
                </w:rPr>
              </m:ctrlPr>
            </m:num>
            <m:den>
              <m:r>
                <m:rPr/>
                <w:rPr>
                  <w:rFonts w:ascii="Cambria Math"/>
                  <w:kern w:val="0"/>
                  <w:sz w:val="24"/>
                </w:rPr>
                <m:t>2.33</m:t>
              </m:r>
              <m:rad>
                <m:radPr>
                  <m:degHide m:val="1"/>
                  <m:ctrlPr>
                    <w:rPr>
                      <w:rFonts w:ascii="Cambria Math"/>
                      <w:i/>
                      <w:kern w:val="0"/>
                      <w:sz w:val="24"/>
                    </w:rPr>
                  </m:ctrlPr>
                </m:radPr>
                <m:deg>
                  <m:ctrlPr>
                    <w:rPr>
                      <w:rFonts w:ascii="Cambria Math"/>
                      <w:i/>
                      <w:kern w:val="0"/>
                      <w:sz w:val="24"/>
                    </w:rPr>
                  </m:ctrlPr>
                </m:deg>
                <m:e>
                  <m:r>
                    <m:rPr/>
                    <w:rPr>
                      <w:rFonts w:ascii="Cambria Math"/>
                      <w:kern w:val="0"/>
                      <w:sz w:val="24"/>
                    </w:rPr>
                    <m:t>5</m:t>
                  </m:r>
                  <m:ctrlPr>
                    <w:rPr>
                      <w:rFonts w:ascii="Cambria Math"/>
                      <w:i/>
                      <w:kern w:val="0"/>
                      <w:sz w:val="24"/>
                    </w:rPr>
                  </m:ctrlPr>
                </m:e>
              </m:rad>
              <m:ctrlPr>
                <w:rPr>
                  <w:rFonts w:ascii="Cambria Math"/>
                  <w:i/>
                  <w:kern w:val="0"/>
                  <w:sz w:val="24"/>
                </w:rPr>
              </m:ctrlPr>
            </m:den>
          </m:f>
          <m:r>
            <m:rPr/>
            <w:rPr>
              <w:rFonts w:ascii="Cambria Math"/>
              <w:kern w:val="0"/>
              <w:sz w:val="24"/>
            </w:rPr>
            <m:t>=0.07HRC</m:t>
          </m:r>
        </m:oMath>
      </m:oMathPara>
    </w:p>
    <w:p>
      <w:pPr>
        <w:spacing w:line="360" w:lineRule="auto"/>
        <w:rPr>
          <w:i/>
          <w:sz w:val="24"/>
          <w:vertAlign w:val="subscript"/>
        </w:rPr>
      </w:pPr>
      <w:r>
        <w:rPr>
          <w:sz w:val="24"/>
        </w:rPr>
        <w:t>3.</w:t>
      </w:r>
      <w:r>
        <w:rPr>
          <w:rFonts w:hint="eastAsia"/>
          <w:sz w:val="24"/>
        </w:rPr>
        <w:t>2</w:t>
      </w:r>
      <w:r>
        <w:rPr>
          <w:sz w:val="24"/>
        </w:rPr>
        <w:t>测量设备引入的标准不确定度</w:t>
      </w:r>
      <w:r>
        <w:rPr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的评定</w:t>
      </w:r>
    </w:p>
    <w:p>
      <w:pPr>
        <w:widowControl/>
        <w:adjustRightIn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依据</w:t>
      </w:r>
      <w:r>
        <w:rPr>
          <w:rFonts w:hint="eastAsia"/>
          <w:sz w:val="24"/>
        </w:rPr>
        <w:t>HR-150A型</w:t>
      </w:r>
      <w:r>
        <w:rPr>
          <w:sz w:val="24"/>
        </w:rPr>
        <w:t>洛氏硬度计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检定</w:t>
      </w:r>
      <w:r>
        <w:rPr>
          <w:rFonts w:hint="eastAsia"/>
          <w:sz w:val="24"/>
        </w:rPr>
        <w:t>证书给出</w:t>
      </w:r>
      <w:r>
        <w:rPr>
          <w:sz w:val="24"/>
        </w:rPr>
        <w:t>的最大允许误差±1.5HRC, 按均匀分布，</w:t>
      </w:r>
      <w:bookmarkStart w:id="0" w:name="_GoBack"/>
      <w:bookmarkEnd w:id="0"/>
      <w:r>
        <w:rPr>
          <w:sz w:val="24"/>
        </w:rPr>
        <w:t>半宽a=1.5HRC,取包含因子</w:t>
      </w:r>
      <w:r>
        <w:rPr>
          <w:i/>
          <w:iCs/>
          <w:sz w:val="24"/>
        </w:rPr>
        <w:t>k</w:t>
      </w:r>
      <w:r>
        <w:rPr>
          <w:sz w:val="24"/>
        </w:rPr>
        <w:t>=</w:t>
      </w:r>
      <w:r>
        <w:rPr>
          <w:position w:val="-8"/>
          <w:sz w:val="24"/>
        </w:rPr>
        <w:object>
          <v:shape id="_x0000_i1028" o:spt="75" type="#_x0000_t75" style="height:17.15pt;width:17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sz w:val="24"/>
        </w:rPr>
        <w:t>，则：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kern w:val="0"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kern w:val="0"/>
                <w:sz w:val="24"/>
              </w:rPr>
              <m:t>u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/>
                <w:kern w:val="0"/>
                <w:sz w:val="24"/>
              </w:rPr>
              <m:t>2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sub>
        </m:sSub>
      </m:oMath>
      <w:r>
        <w:rPr>
          <w:kern w:val="0"/>
          <w:sz w:val="24"/>
        </w:rPr>
        <w:t>=</w:t>
      </w:r>
      <w:r>
        <w:rPr>
          <w:kern w:val="0"/>
          <w:position w:val="-30"/>
          <w:sz w:val="24"/>
        </w:rPr>
        <w:object>
          <v:shape id="_x0000_i1029" o:spt="75" type="#_x0000_t75" style="height:33pt;width:129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sz w:val="24"/>
        </w:rPr>
      </w:pPr>
      <w:r>
        <w:rPr>
          <w:sz w:val="24"/>
        </w:rPr>
        <w:t>4、标准不确定度</w:t>
      </w:r>
      <w:r>
        <w:rPr>
          <w:rFonts w:hint="eastAsia"/>
          <w:sz w:val="24"/>
        </w:rPr>
        <w:t>计算</w:t>
      </w:r>
    </w:p>
    <w:p>
      <w:pPr>
        <w:spacing w:line="360" w:lineRule="auto"/>
        <w:rPr>
          <w:sz w:val="24"/>
        </w:rPr>
      </w:pPr>
      <w:r>
        <w:rPr>
          <w:sz w:val="24"/>
        </w:rPr>
        <w:t>4.1输入量的标准不确定度汇总于表2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3919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91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</w:t>
            </w:r>
            <w:r>
              <w:rPr>
                <w:kern w:val="0"/>
                <w:sz w:val="24"/>
              </w:rPr>
              <w:t>07HRC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91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260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0.87HRC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widowControl/>
        <w:adjustRightInd w:val="0"/>
        <w:spacing w:line="360" w:lineRule="auto"/>
        <w:ind w:firstLine="960" w:firstLineChars="400"/>
        <w:rPr>
          <w:sz w:val="24"/>
        </w:rPr>
      </w:pPr>
      <m:oMathPara>
        <m:oMath>
          <m:sSub>
            <m:sSubPr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sSubPr>
            <m:e>
              <m:r>
                <m:rPr/>
                <w:rPr>
                  <w:rFonts w:ascii="Cambria Math"/>
                  <w:sz w:val="24"/>
                  <w:vertAlign w:val="subscript"/>
                </w:rPr>
                <m:t>u</m:t>
              </m:r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e>
            <m:sub>
              <m:r>
                <m:rPr/>
                <w:rPr>
                  <w:rFonts w:ascii="Cambria Math"/>
                  <w:sz w:val="24"/>
                  <w:vertAlign w:val="subscript"/>
                </w:rPr>
                <m:t>C</m:t>
              </m:r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sub>
          </m:sSub>
          <m:r>
            <m:rPr/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deg>
            <m:e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e>
                <m:sub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1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ub>
                <m:sup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up>
              </m:sSubSup>
              <m:r>
                <m:rPr/>
                <w:rPr>
                  <w:rFonts w:asci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e>
                <m:sub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ub>
                <m:sup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up>
              </m:sSub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m:rPr/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deg>
            <m:e>
              <m:r>
                <m:rPr/>
                <w:rPr>
                  <w:rFonts w:ascii="Cambria Math"/>
                  <w:sz w:val="24"/>
                  <w:vertAlign w:val="subscript"/>
                </w:rPr>
                <m:t>0.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m:rPr/>
                    <w:rPr>
                      <w:rFonts w:hint="default" w:ascii="Cambria Math"/>
                      <w:sz w:val="24"/>
                      <w:vertAlign w:val="subscript"/>
                      <w:lang w:val="en-US" w:eastAsia="zh-CN"/>
                    </w:rPr>
                    <m:t>07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e>
                <m:sup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up>
              </m:sSup>
              <m:r>
                <m:rPr/>
                <w:rPr>
                  <w:rFonts w:ascii="Cambria Math"/>
                  <w:sz w:val="24"/>
                  <w:vertAlign w:val="subscript"/>
                </w:rPr>
                <m:t>+0.8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7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e>
                <m:sup>
                  <m:r>
                    <m:rPr/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m:rPr/>
            <w:rPr>
              <w:rFonts w:ascii="Cambria Math"/>
              <w:sz w:val="24"/>
              <w:vertAlign w:val="subscript"/>
            </w:rPr>
            <m:t>=</m:t>
          </m:r>
          <m:r>
            <m:rPr/>
            <w:rPr>
              <w:rFonts w:hint="default" w:ascii="Cambria Math"/>
              <w:sz w:val="24"/>
              <w:vertAlign w:val="subscript"/>
              <w:lang w:val="en-US" w:eastAsia="zh-CN"/>
            </w:rPr>
            <m:t>0.87</m:t>
          </m:r>
          <m:r>
            <m:rPr/>
            <w:rPr>
              <w:rFonts w:ascii="Cambria Math"/>
              <w:sz w:val="24"/>
              <w:vertAlign w:val="subscript"/>
            </w:rPr>
            <m:t>HRC</m:t>
          </m:r>
        </m:oMath>
      </m:oMathPara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</w:p>
    <w:p>
      <w:pPr>
        <w:widowControl/>
        <w:adjustRightInd w:val="0"/>
        <w:spacing w:line="360" w:lineRule="auto"/>
        <w:ind w:firstLine="1920" w:firstLineChars="800"/>
        <w:rPr>
          <w:sz w:val="24"/>
        </w:rPr>
      </w:pP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=2×</w:t>
      </w:r>
      <w:r>
        <w:rPr>
          <w:rFonts w:hint="eastAsia"/>
          <w:sz w:val="24"/>
          <w:lang w:val="en-US" w:eastAsia="zh-CN"/>
        </w:rPr>
        <w:t>0.87</w:t>
      </w:r>
      <w:r>
        <w:rPr>
          <w:sz w:val="24"/>
        </w:rPr>
        <w:t>HRC =</w:t>
      </w:r>
      <w:r>
        <w:rPr>
          <w:rFonts w:hint="eastAsia"/>
          <w:sz w:val="24"/>
          <w:lang w:val="en-US" w:eastAsia="zh-CN"/>
        </w:rPr>
        <w:t>1.74</w:t>
      </w:r>
      <w:r>
        <w:rPr>
          <w:sz w:val="24"/>
        </w:rPr>
        <w:t>HRC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     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  <w:lang w:val="en-US" w:eastAsia="zh-CN"/>
        </w:rPr>
        <w:t>1.74</w:t>
      </w:r>
      <w:r>
        <w:rPr>
          <w:sz w:val="24"/>
        </w:rPr>
        <w:t xml:space="preserve">HRC  </w:t>
      </w:r>
      <w:r>
        <w:rPr>
          <w:i/>
          <w:sz w:val="24"/>
        </w:rPr>
        <w:t>k</w:t>
      </w:r>
      <w:r>
        <w:rPr>
          <w:sz w:val="24"/>
        </w:rPr>
        <w:t>=2</w:t>
      </w:r>
    </w:p>
    <w:p>
      <w:pPr>
        <w:spacing w:line="360" w:lineRule="auto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7162"/>
    <w:rsid w:val="001659CC"/>
    <w:rsid w:val="00166E56"/>
    <w:rsid w:val="001E3A13"/>
    <w:rsid w:val="00227CDF"/>
    <w:rsid w:val="00236F46"/>
    <w:rsid w:val="002F1D30"/>
    <w:rsid w:val="003717DB"/>
    <w:rsid w:val="003E09DB"/>
    <w:rsid w:val="00433656"/>
    <w:rsid w:val="00553067"/>
    <w:rsid w:val="00565E98"/>
    <w:rsid w:val="00592E16"/>
    <w:rsid w:val="006E25D7"/>
    <w:rsid w:val="00732A29"/>
    <w:rsid w:val="007A44C6"/>
    <w:rsid w:val="0098777B"/>
    <w:rsid w:val="00A1310C"/>
    <w:rsid w:val="00A56AB3"/>
    <w:rsid w:val="00A77537"/>
    <w:rsid w:val="00A92CEC"/>
    <w:rsid w:val="00AB15B9"/>
    <w:rsid w:val="00AB3230"/>
    <w:rsid w:val="00AE768A"/>
    <w:rsid w:val="00B23EC5"/>
    <w:rsid w:val="00B72BDD"/>
    <w:rsid w:val="00BA0E7B"/>
    <w:rsid w:val="00BD74FC"/>
    <w:rsid w:val="00C05D48"/>
    <w:rsid w:val="00C706B9"/>
    <w:rsid w:val="00C82B39"/>
    <w:rsid w:val="00D60E80"/>
    <w:rsid w:val="00D70EB7"/>
    <w:rsid w:val="00E043D6"/>
    <w:rsid w:val="00F55B64"/>
    <w:rsid w:val="00F90B91"/>
    <w:rsid w:val="00FB7233"/>
    <w:rsid w:val="00FC14E7"/>
    <w:rsid w:val="00FC48D7"/>
    <w:rsid w:val="015416E6"/>
    <w:rsid w:val="01E43D31"/>
    <w:rsid w:val="023C409D"/>
    <w:rsid w:val="024025BA"/>
    <w:rsid w:val="02D10F61"/>
    <w:rsid w:val="02E30EB9"/>
    <w:rsid w:val="03075687"/>
    <w:rsid w:val="0322720D"/>
    <w:rsid w:val="033C61BB"/>
    <w:rsid w:val="033C6CE8"/>
    <w:rsid w:val="03F5299C"/>
    <w:rsid w:val="049207C0"/>
    <w:rsid w:val="05080EB6"/>
    <w:rsid w:val="051035AF"/>
    <w:rsid w:val="0529508E"/>
    <w:rsid w:val="05D13617"/>
    <w:rsid w:val="06354F1C"/>
    <w:rsid w:val="0684477D"/>
    <w:rsid w:val="06FB068D"/>
    <w:rsid w:val="074914CA"/>
    <w:rsid w:val="0767768E"/>
    <w:rsid w:val="07813E62"/>
    <w:rsid w:val="07886409"/>
    <w:rsid w:val="07A54DAE"/>
    <w:rsid w:val="07ED4121"/>
    <w:rsid w:val="082852F7"/>
    <w:rsid w:val="084038EF"/>
    <w:rsid w:val="08EC269F"/>
    <w:rsid w:val="09A43626"/>
    <w:rsid w:val="0A9A5E74"/>
    <w:rsid w:val="0AF125E1"/>
    <w:rsid w:val="0B072A28"/>
    <w:rsid w:val="0B0B039F"/>
    <w:rsid w:val="0B7A5A3B"/>
    <w:rsid w:val="0C0C56A3"/>
    <w:rsid w:val="0C8C375E"/>
    <w:rsid w:val="0D6C63FA"/>
    <w:rsid w:val="0E2137A4"/>
    <w:rsid w:val="0E570075"/>
    <w:rsid w:val="0F334CE9"/>
    <w:rsid w:val="0F492F44"/>
    <w:rsid w:val="0F720EB7"/>
    <w:rsid w:val="0F89424F"/>
    <w:rsid w:val="107F6672"/>
    <w:rsid w:val="108E71B4"/>
    <w:rsid w:val="10C76CC6"/>
    <w:rsid w:val="11062BEE"/>
    <w:rsid w:val="114B0031"/>
    <w:rsid w:val="11F978F2"/>
    <w:rsid w:val="12636A19"/>
    <w:rsid w:val="12FA3CAA"/>
    <w:rsid w:val="132F00D6"/>
    <w:rsid w:val="136E1BB8"/>
    <w:rsid w:val="13794216"/>
    <w:rsid w:val="13907870"/>
    <w:rsid w:val="139C6110"/>
    <w:rsid w:val="13AD63AE"/>
    <w:rsid w:val="13CB519A"/>
    <w:rsid w:val="14505DC3"/>
    <w:rsid w:val="14C20031"/>
    <w:rsid w:val="150669D4"/>
    <w:rsid w:val="1515601B"/>
    <w:rsid w:val="15577EC7"/>
    <w:rsid w:val="15963326"/>
    <w:rsid w:val="159C1D1A"/>
    <w:rsid w:val="1651438D"/>
    <w:rsid w:val="16895B57"/>
    <w:rsid w:val="170610F8"/>
    <w:rsid w:val="175F3A9B"/>
    <w:rsid w:val="179C6515"/>
    <w:rsid w:val="17BA0860"/>
    <w:rsid w:val="17C443A6"/>
    <w:rsid w:val="17DB2585"/>
    <w:rsid w:val="183E7280"/>
    <w:rsid w:val="18757966"/>
    <w:rsid w:val="18B23F30"/>
    <w:rsid w:val="190820D4"/>
    <w:rsid w:val="19DE635C"/>
    <w:rsid w:val="1A2A38DE"/>
    <w:rsid w:val="1A2E2CB0"/>
    <w:rsid w:val="1A3D6076"/>
    <w:rsid w:val="1AE95F4D"/>
    <w:rsid w:val="1AF92720"/>
    <w:rsid w:val="1AFC0AA7"/>
    <w:rsid w:val="1B2A74E6"/>
    <w:rsid w:val="1BE83ECF"/>
    <w:rsid w:val="1BFF219A"/>
    <w:rsid w:val="1D1722B1"/>
    <w:rsid w:val="1D5D7C6E"/>
    <w:rsid w:val="1D666206"/>
    <w:rsid w:val="1D83360D"/>
    <w:rsid w:val="1D870709"/>
    <w:rsid w:val="1D99516E"/>
    <w:rsid w:val="1DE85FFF"/>
    <w:rsid w:val="1F033F99"/>
    <w:rsid w:val="1F3154A4"/>
    <w:rsid w:val="1F755EEE"/>
    <w:rsid w:val="1FA93223"/>
    <w:rsid w:val="1FD53D5E"/>
    <w:rsid w:val="201B46A7"/>
    <w:rsid w:val="20380E11"/>
    <w:rsid w:val="205C3E16"/>
    <w:rsid w:val="20787783"/>
    <w:rsid w:val="20C13433"/>
    <w:rsid w:val="21090163"/>
    <w:rsid w:val="21BA3713"/>
    <w:rsid w:val="21EB21B9"/>
    <w:rsid w:val="22242A16"/>
    <w:rsid w:val="223F6863"/>
    <w:rsid w:val="2257687F"/>
    <w:rsid w:val="22D65382"/>
    <w:rsid w:val="22DD7592"/>
    <w:rsid w:val="23A5138B"/>
    <w:rsid w:val="23CF2B36"/>
    <w:rsid w:val="24836E05"/>
    <w:rsid w:val="24860FAE"/>
    <w:rsid w:val="24A97D6A"/>
    <w:rsid w:val="254D786C"/>
    <w:rsid w:val="26520B85"/>
    <w:rsid w:val="266F2FDB"/>
    <w:rsid w:val="270C47FE"/>
    <w:rsid w:val="2710167F"/>
    <w:rsid w:val="2720587C"/>
    <w:rsid w:val="27DD05D8"/>
    <w:rsid w:val="27DF7713"/>
    <w:rsid w:val="28996BC8"/>
    <w:rsid w:val="295E52F6"/>
    <w:rsid w:val="29702973"/>
    <w:rsid w:val="2A2A582A"/>
    <w:rsid w:val="2A7C3092"/>
    <w:rsid w:val="2A9F7E91"/>
    <w:rsid w:val="2B244F0A"/>
    <w:rsid w:val="2B4C1378"/>
    <w:rsid w:val="2C17599D"/>
    <w:rsid w:val="2C1B093A"/>
    <w:rsid w:val="2C5D353F"/>
    <w:rsid w:val="2C7B55AE"/>
    <w:rsid w:val="2C863B1D"/>
    <w:rsid w:val="2CA95F12"/>
    <w:rsid w:val="2CFE7B58"/>
    <w:rsid w:val="2D0E4090"/>
    <w:rsid w:val="2DA3351D"/>
    <w:rsid w:val="2DB40A67"/>
    <w:rsid w:val="2DBB4F6C"/>
    <w:rsid w:val="2DBD3E4F"/>
    <w:rsid w:val="2E2B1F94"/>
    <w:rsid w:val="2E5E35F6"/>
    <w:rsid w:val="2E625356"/>
    <w:rsid w:val="2EC93DDC"/>
    <w:rsid w:val="2EDF670F"/>
    <w:rsid w:val="2F001AC3"/>
    <w:rsid w:val="2F1E200F"/>
    <w:rsid w:val="2F306C78"/>
    <w:rsid w:val="2F902A44"/>
    <w:rsid w:val="2F97783C"/>
    <w:rsid w:val="2F985D32"/>
    <w:rsid w:val="2FA50E6E"/>
    <w:rsid w:val="2FF610A7"/>
    <w:rsid w:val="2FFB4A11"/>
    <w:rsid w:val="30697684"/>
    <w:rsid w:val="30B30311"/>
    <w:rsid w:val="31773F66"/>
    <w:rsid w:val="31F508CA"/>
    <w:rsid w:val="3267118D"/>
    <w:rsid w:val="329B5D42"/>
    <w:rsid w:val="32C25C4E"/>
    <w:rsid w:val="32C755ED"/>
    <w:rsid w:val="32D11CED"/>
    <w:rsid w:val="34343C2F"/>
    <w:rsid w:val="34785C61"/>
    <w:rsid w:val="349B3CDF"/>
    <w:rsid w:val="34AD43B8"/>
    <w:rsid w:val="35787D47"/>
    <w:rsid w:val="359758E5"/>
    <w:rsid w:val="35CD24B3"/>
    <w:rsid w:val="36184782"/>
    <w:rsid w:val="362A2DEB"/>
    <w:rsid w:val="37270EEB"/>
    <w:rsid w:val="37682CFB"/>
    <w:rsid w:val="37A94C31"/>
    <w:rsid w:val="38037262"/>
    <w:rsid w:val="380B5B88"/>
    <w:rsid w:val="381C20D2"/>
    <w:rsid w:val="38A74091"/>
    <w:rsid w:val="39691988"/>
    <w:rsid w:val="39991A6E"/>
    <w:rsid w:val="3A163D1F"/>
    <w:rsid w:val="3A1D0244"/>
    <w:rsid w:val="3A9C705E"/>
    <w:rsid w:val="3AA94754"/>
    <w:rsid w:val="3AD849D6"/>
    <w:rsid w:val="3B6B705B"/>
    <w:rsid w:val="3BB6270B"/>
    <w:rsid w:val="3BCE7B87"/>
    <w:rsid w:val="3D6436A5"/>
    <w:rsid w:val="3DA52452"/>
    <w:rsid w:val="3E171CB9"/>
    <w:rsid w:val="3E782D86"/>
    <w:rsid w:val="3E914909"/>
    <w:rsid w:val="3EF73C9A"/>
    <w:rsid w:val="3EFE5EE2"/>
    <w:rsid w:val="3F1A5764"/>
    <w:rsid w:val="3F6318E7"/>
    <w:rsid w:val="407A0847"/>
    <w:rsid w:val="409F2474"/>
    <w:rsid w:val="41D24F23"/>
    <w:rsid w:val="41E35D9C"/>
    <w:rsid w:val="42904D9A"/>
    <w:rsid w:val="42D51AAC"/>
    <w:rsid w:val="43666874"/>
    <w:rsid w:val="43B525C0"/>
    <w:rsid w:val="43EB5300"/>
    <w:rsid w:val="43EB609A"/>
    <w:rsid w:val="444F34BE"/>
    <w:rsid w:val="44BF17A1"/>
    <w:rsid w:val="452D6531"/>
    <w:rsid w:val="45575091"/>
    <w:rsid w:val="45A7440B"/>
    <w:rsid w:val="45B643FF"/>
    <w:rsid w:val="45FE3658"/>
    <w:rsid w:val="462C7D91"/>
    <w:rsid w:val="46704E88"/>
    <w:rsid w:val="467E38C1"/>
    <w:rsid w:val="46915ADF"/>
    <w:rsid w:val="473F3A07"/>
    <w:rsid w:val="47A07B51"/>
    <w:rsid w:val="47D62180"/>
    <w:rsid w:val="47E643A1"/>
    <w:rsid w:val="47FA49F3"/>
    <w:rsid w:val="487954CE"/>
    <w:rsid w:val="48C333B0"/>
    <w:rsid w:val="492E08A0"/>
    <w:rsid w:val="493C18BB"/>
    <w:rsid w:val="49680B69"/>
    <w:rsid w:val="4A464DF3"/>
    <w:rsid w:val="4A6377AC"/>
    <w:rsid w:val="4A6F4C3B"/>
    <w:rsid w:val="4AD918C9"/>
    <w:rsid w:val="4B466D02"/>
    <w:rsid w:val="4B814F69"/>
    <w:rsid w:val="4C183A00"/>
    <w:rsid w:val="4C5067A9"/>
    <w:rsid w:val="4CD37E96"/>
    <w:rsid w:val="4D2A47F4"/>
    <w:rsid w:val="4DB2248A"/>
    <w:rsid w:val="4E310665"/>
    <w:rsid w:val="4E416634"/>
    <w:rsid w:val="4F41330E"/>
    <w:rsid w:val="4FDA309F"/>
    <w:rsid w:val="4FDB7782"/>
    <w:rsid w:val="504F5371"/>
    <w:rsid w:val="50730AE5"/>
    <w:rsid w:val="50A07371"/>
    <w:rsid w:val="50C51E4D"/>
    <w:rsid w:val="51552E73"/>
    <w:rsid w:val="5196484B"/>
    <w:rsid w:val="51B926F9"/>
    <w:rsid w:val="51BA0D4B"/>
    <w:rsid w:val="51D71733"/>
    <w:rsid w:val="520B3430"/>
    <w:rsid w:val="526747A8"/>
    <w:rsid w:val="528447F7"/>
    <w:rsid w:val="52BA5F3A"/>
    <w:rsid w:val="53BC0C9F"/>
    <w:rsid w:val="54C603E3"/>
    <w:rsid w:val="552B733D"/>
    <w:rsid w:val="55803F4D"/>
    <w:rsid w:val="558744B5"/>
    <w:rsid w:val="55985E5F"/>
    <w:rsid w:val="55B27004"/>
    <w:rsid w:val="55E02218"/>
    <w:rsid w:val="56B07180"/>
    <w:rsid w:val="56C86374"/>
    <w:rsid w:val="56F20776"/>
    <w:rsid w:val="57022007"/>
    <w:rsid w:val="57144B90"/>
    <w:rsid w:val="57C55524"/>
    <w:rsid w:val="57CC2099"/>
    <w:rsid w:val="57EE0F5D"/>
    <w:rsid w:val="58A13279"/>
    <w:rsid w:val="58C70B1F"/>
    <w:rsid w:val="58F90F65"/>
    <w:rsid w:val="59217321"/>
    <w:rsid w:val="5924713E"/>
    <w:rsid w:val="59E404A7"/>
    <w:rsid w:val="59F842F5"/>
    <w:rsid w:val="5A333EB8"/>
    <w:rsid w:val="5AC6231F"/>
    <w:rsid w:val="5ADF1011"/>
    <w:rsid w:val="5AFE3FE6"/>
    <w:rsid w:val="5B12033D"/>
    <w:rsid w:val="5B474822"/>
    <w:rsid w:val="5C096AEE"/>
    <w:rsid w:val="5CFC6645"/>
    <w:rsid w:val="5D5F2C23"/>
    <w:rsid w:val="5EAF7D71"/>
    <w:rsid w:val="5EFD54A6"/>
    <w:rsid w:val="5F427044"/>
    <w:rsid w:val="5F6B4A5D"/>
    <w:rsid w:val="6001421E"/>
    <w:rsid w:val="605F0B66"/>
    <w:rsid w:val="606118DB"/>
    <w:rsid w:val="608B4C0D"/>
    <w:rsid w:val="60C173E7"/>
    <w:rsid w:val="60DD0D32"/>
    <w:rsid w:val="61513181"/>
    <w:rsid w:val="619B1BCE"/>
    <w:rsid w:val="61F140D4"/>
    <w:rsid w:val="61F2136B"/>
    <w:rsid w:val="62140B79"/>
    <w:rsid w:val="6214142E"/>
    <w:rsid w:val="62484C76"/>
    <w:rsid w:val="6292162C"/>
    <w:rsid w:val="62ED7BA5"/>
    <w:rsid w:val="62F42DC0"/>
    <w:rsid w:val="630B6758"/>
    <w:rsid w:val="63187340"/>
    <w:rsid w:val="637E65C2"/>
    <w:rsid w:val="64701F3E"/>
    <w:rsid w:val="652C02DD"/>
    <w:rsid w:val="65A11B1C"/>
    <w:rsid w:val="65DC652B"/>
    <w:rsid w:val="65EC3813"/>
    <w:rsid w:val="65EF3C35"/>
    <w:rsid w:val="66345990"/>
    <w:rsid w:val="680A62EC"/>
    <w:rsid w:val="68127334"/>
    <w:rsid w:val="68255B3B"/>
    <w:rsid w:val="683B1F8B"/>
    <w:rsid w:val="692E1506"/>
    <w:rsid w:val="695F0B69"/>
    <w:rsid w:val="6A071061"/>
    <w:rsid w:val="6A2F29AB"/>
    <w:rsid w:val="6A370221"/>
    <w:rsid w:val="6A5C473A"/>
    <w:rsid w:val="6A7D3D26"/>
    <w:rsid w:val="6B33464F"/>
    <w:rsid w:val="6B7A2070"/>
    <w:rsid w:val="6BDE262E"/>
    <w:rsid w:val="6C347AA5"/>
    <w:rsid w:val="6C90660F"/>
    <w:rsid w:val="6CF710FC"/>
    <w:rsid w:val="6D8B1D1F"/>
    <w:rsid w:val="6DDE55D0"/>
    <w:rsid w:val="6E007D80"/>
    <w:rsid w:val="6E9F7006"/>
    <w:rsid w:val="6EC916CC"/>
    <w:rsid w:val="6EE7134B"/>
    <w:rsid w:val="6F4733CA"/>
    <w:rsid w:val="6F7F7358"/>
    <w:rsid w:val="6FBF6FA8"/>
    <w:rsid w:val="6FE36DE5"/>
    <w:rsid w:val="6FFB52FF"/>
    <w:rsid w:val="6FFC36C6"/>
    <w:rsid w:val="703F78C8"/>
    <w:rsid w:val="70BE60D8"/>
    <w:rsid w:val="70F02CA1"/>
    <w:rsid w:val="711F53B4"/>
    <w:rsid w:val="7151076F"/>
    <w:rsid w:val="71BB412E"/>
    <w:rsid w:val="71CC383B"/>
    <w:rsid w:val="720B4224"/>
    <w:rsid w:val="72112E6C"/>
    <w:rsid w:val="721E2443"/>
    <w:rsid w:val="72680FAA"/>
    <w:rsid w:val="72D04BE5"/>
    <w:rsid w:val="72D84B70"/>
    <w:rsid w:val="72EF5E54"/>
    <w:rsid w:val="73160F66"/>
    <w:rsid w:val="73361172"/>
    <w:rsid w:val="745D0E1C"/>
    <w:rsid w:val="74E348BF"/>
    <w:rsid w:val="75742F72"/>
    <w:rsid w:val="75925870"/>
    <w:rsid w:val="75D76D67"/>
    <w:rsid w:val="75E35C0B"/>
    <w:rsid w:val="76A62541"/>
    <w:rsid w:val="77B63CFE"/>
    <w:rsid w:val="78201402"/>
    <w:rsid w:val="7824126E"/>
    <w:rsid w:val="78932B85"/>
    <w:rsid w:val="78E02641"/>
    <w:rsid w:val="78EB596B"/>
    <w:rsid w:val="7917715F"/>
    <w:rsid w:val="79C20835"/>
    <w:rsid w:val="7A347A80"/>
    <w:rsid w:val="7A3757D9"/>
    <w:rsid w:val="7B6C3AFC"/>
    <w:rsid w:val="7BAD5648"/>
    <w:rsid w:val="7BC054EF"/>
    <w:rsid w:val="7BEE7A8A"/>
    <w:rsid w:val="7C3E2CBC"/>
    <w:rsid w:val="7C7012DC"/>
    <w:rsid w:val="7C7C4E35"/>
    <w:rsid w:val="7CD935B2"/>
    <w:rsid w:val="7D1D073F"/>
    <w:rsid w:val="7D9D5CDC"/>
    <w:rsid w:val="7E886DB8"/>
    <w:rsid w:val="7F543521"/>
    <w:rsid w:val="7F7D37DB"/>
    <w:rsid w:val="7FA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1111</Characters>
  <Lines>9</Lines>
  <Paragraphs>2</Paragraphs>
  <TotalTime>1</TotalTime>
  <ScaleCrop>false</ScaleCrop>
  <LinksUpToDate>false</LinksUpToDate>
  <CharactersWithSpaces>1303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2022-03-22T11:25:00Z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DC89147E8474451F89A5089C29C31136</vt:lpwstr>
  </property>
</Properties>
</file>