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bookmarkStart w:id="2" w:name="组织名称"/>
            <w:r>
              <w:rPr>
                <w:rFonts w:hint="eastAsia" w:ascii="宋体" w:hAnsi="宋体" w:cs="宋体"/>
                <w:color w:val="000000"/>
                <w:kern w:val="0"/>
                <w:szCs w:val="21"/>
              </w:rPr>
              <w:t>北京中联寰宇建筑工程有限公司</w:t>
            </w:r>
            <w:bookmarkEnd w:id="2"/>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jc w:val="center"/>
              <w:rPr>
                <w:b/>
                <w:sz w:val="20"/>
              </w:rPr>
            </w:pPr>
            <w:r>
              <w:rPr>
                <w:b/>
                <w:sz w:val="20"/>
              </w:rPr>
              <w:t>Q：35.17.00</w:t>
            </w:r>
          </w:p>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val="en-US" w:eastAsia="zh-CN"/>
              </w:rPr>
              <w:t>李京田</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Q：35.17.00</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414" w:type="dxa"/>
            <w:vAlign w:val="center"/>
          </w:tcPr>
          <w:p>
            <w:pPr>
              <w:snapToGrid w:val="0"/>
              <w:spacing w:line="360" w:lineRule="exact"/>
              <w:jc w:val="center"/>
              <w:rPr>
                <w:rFonts w:hint="default" w:eastAsia="宋体"/>
                <w:b/>
                <w:sz w:val="20"/>
                <w:lang w:val="en-US" w:eastAsia="zh-CN"/>
              </w:rPr>
            </w:pPr>
            <w:r>
              <w:rPr>
                <w:rFonts w:ascii="宋体" w:hAnsi="宋体" w:cs="宋体"/>
                <w:color w:val="000000"/>
                <w:kern w:val="0"/>
                <w:szCs w:val="21"/>
              </w:rPr>
              <w:t>张亮</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远程）</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pStyle w:val="13"/>
              <w:rPr>
                <w:rFonts w:hint="eastAsia" w:ascii="Times New Roman" w:hAnsi="Times New Roman" w:eastAsia="宋体" w:cs="Times New Roman"/>
                <w:bCs/>
                <w:spacing w:val="1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b/>
                <w:sz w:val="20"/>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59264"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2022.3.24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0288"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b/>
                <w:sz w:val="20"/>
                <w:lang w:val="en-US"/>
              </w:rPr>
            </w:pPr>
            <w:r>
              <w:rPr>
                <w:rFonts w:hint="eastAsia"/>
                <w:b/>
                <w:sz w:val="20"/>
                <w:lang w:val="en-US" w:eastAsia="zh-CN"/>
              </w:rPr>
              <w:t>2022.3.24</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lang w:eastAsia="zh-CN"/>
        </w:rPr>
        <w:t>☑</w:t>
      </w:r>
      <w:r>
        <w:rPr>
          <w:b/>
          <w:sz w:val="22"/>
          <w:szCs w:val="22"/>
        </w:rPr>
        <w:t xml:space="preserve">EMS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rFonts w:hint="eastAsia" w:ascii="宋体" w:hAnsi="宋体" w:cs="宋体"/>
                <w:color w:val="000000"/>
                <w:kern w:val="0"/>
                <w:szCs w:val="21"/>
              </w:rPr>
              <w:t>北京中联寰宇建筑工程有限公司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jc w:val="center"/>
              <w:rPr>
                <w:b/>
                <w:sz w:val="20"/>
              </w:rPr>
            </w:pPr>
            <w:r>
              <w:rPr>
                <w:rFonts w:hint="eastAsia"/>
                <w:b/>
                <w:sz w:val="20"/>
                <w:lang w:val="en-US" w:eastAsia="zh-CN"/>
              </w:rPr>
              <w:t>E</w:t>
            </w:r>
            <w:r>
              <w:rPr>
                <w:b/>
                <w:sz w:val="20"/>
              </w:rPr>
              <w:t>：35.17.00</w:t>
            </w:r>
          </w:p>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val="en-US" w:eastAsia="zh-CN"/>
              </w:rPr>
              <w:t>李京田</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rFonts w:hint="eastAsia"/>
                <w:b/>
                <w:sz w:val="20"/>
                <w:lang w:val="en-US" w:eastAsia="zh-CN"/>
              </w:rPr>
              <w:t>E</w:t>
            </w:r>
            <w:r>
              <w:rPr>
                <w:b/>
                <w:sz w:val="20"/>
              </w:rPr>
              <w:t>：35.17.00</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b/>
                <w:sz w:val="20"/>
                <w:lang w:val="en-US"/>
              </w:rPr>
            </w:pPr>
            <w:r>
              <w:rPr>
                <w:rFonts w:hint="eastAsia"/>
                <w:b/>
                <w:sz w:val="20"/>
                <w:lang w:val="en-US" w:eastAsia="zh-CN"/>
              </w:rPr>
              <w:t>会议室+远程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val="en-US" w:eastAsia="zh-CN"/>
              </w:rPr>
              <w:t>李雅静</w:t>
            </w:r>
          </w:p>
        </w:tc>
        <w:tc>
          <w:tcPr>
            <w:tcW w:w="1414"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张亮（远程）</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rFonts w:hint="eastAsia"/>
                <w:b/>
                <w:sz w:val="20"/>
              </w:rPr>
            </w:pPr>
            <w:r>
              <w:rPr>
                <w:rFonts w:hint="eastAsia"/>
                <w:b/>
                <w:sz w:val="20"/>
              </w:rPr>
              <w:t>园林绿化服务：客户洽谈→合同签订→材料采购→进场报验→项目施工→过程检验→竣工验收→后期服务。</w:t>
            </w:r>
          </w:p>
          <w:p>
            <w:pPr>
              <w:snapToGrid w:val="0"/>
              <w:spacing w:line="280" w:lineRule="exact"/>
              <w:rPr>
                <w:rFonts w:hint="eastAsia"/>
                <w:b/>
                <w:sz w:val="20"/>
              </w:rPr>
            </w:pPr>
          </w:p>
          <w:p>
            <w:pPr>
              <w:snapToGrid w:val="0"/>
              <w:spacing w:line="280" w:lineRule="exact"/>
              <w:rPr>
                <w:rFonts w:hint="eastAsia"/>
                <w:b/>
                <w:sz w:val="20"/>
              </w:rPr>
            </w:pPr>
            <w:r>
              <w:rPr>
                <w:rFonts w:hint="eastAsia"/>
                <w:b/>
                <w:sz w:val="20"/>
              </w:rPr>
              <w:t>特殊过程：园林绿化服务过程</w:t>
            </w:r>
          </w:p>
          <w:p>
            <w:pPr>
              <w:snapToGrid w:val="0"/>
              <w:spacing w:line="280" w:lineRule="exact"/>
              <w:rPr>
                <w:rFonts w:hint="eastAsia"/>
                <w:b/>
                <w:sz w:val="20"/>
              </w:rPr>
            </w:pPr>
            <w:r>
              <w:rPr>
                <w:rFonts w:hint="eastAsia"/>
                <w:b/>
                <w:sz w:val="20"/>
              </w:rPr>
              <w:t>苗木管理</w:t>
            </w:r>
          </w:p>
          <w:p>
            <w:pPr>
              <w:snapToGrid w:val="0"/>
              <w:spacing w:line="280" w:lineRule="exact"/>
              <w:rPr>
                <w:rFonts w:hint="eastAsia"/>
                <w:b/>
                <w:sz w:val="20"/>
              </w:rPr>
            </w:pPr>
            <w:r>
              <w:rPr>
                <w:rFonts w:hint="eastAsia"/>
                <w:b/>
                <w:sz w:val="20"/>
              </w:rPr>
              <w:t>（1）清杂放样</w:t>
            </w:r>
          </w:p>
          <w:p>
            <w:pPr>
              <w:snapToGrid w:val="0"/>
              <w:spacing w:line="280" w:lineRule="exact"/>
              <w:rPr>
                <w:rFonts w:hint="eastAsia"/>
                <w:b/>
                <w:sz w:val="20"/>
              </w:rPr>
            </w:pPr>
            <w:r>
              <w:rPr>
                <w:rFonts w:hint="eastAsia"/>
                <w:b/>
                <w:sz w:val="20"/>
              </w:rPr>
              <w:t xml:space="preserve">1.根据提供的场地实际情况，清理土层表面的杂物垃圾，清除的杂物及时运出场地，回填符合设计要求的种植土从而达到栽培的标准 </w:t>
            </w:r>
          </w:p>
          <w:p>
            <w:pPr>
              <w:snapToGrid w:val="0"/>
              <w:spacing w:line="280" w:lineRule="exact"/>
              <w:rPr>
                <w:rFonts w:hint="eastAsia"/>
                <w:b/>
                <w:sz w:val="20"/>
              </w:rPr>
            </w:pPr>
            <w:r>
              <w:rPr>
                <w:rFonts w:hint="eastAsia"/>
                <w:b/>
                <w:sz w:val="20"/>
              </w:rPr>
              <w:t>2.按照规划设计要求及景观植物生长需要，进行适度场地平整、回填、清理至设计制定标高，一般土壤坡度为1%--2%利于排水</w:t>
            </w:r>
          </w:p>
          <w:p>
            <w:pPr>
              <w:snapToGrid w:val="0"/>
              <w:spacing w:line="280" w:lineRule="exact"/>
              <w:rPr>
                <w:rFonts w:hint="eastAsia"/>
                <w:b/>
                <w:sz w:val="20"/>
              </w:rPr>
            </w:pPr>
            <w:r>
              <w:rPr>
                <w:rFonts w:hint="eastAsia"/>
                <w:b/>
                <w:sz w:val="20"/>
              </w:rPr>
              <w:t>（2）苗木栽植</w:t>
            </w:r>
          </w:p>
          <w:p>
            <w:pPr>
              <w:snapToGrid w:val="0"/>
              <w:spacing w:line="280" w:lineRule="exact"/>
              <w:rPr>
                <w:rFonts w:hint="eastAsia"/>
                <w:b/>
                <w:sz w:val="20"/>
              </w:rPr>
            </w:pPr>
            <w:r>
              <w:rPr>
                <w:rFonts w:hint="eastAsia"/>
                <w:b/>
                <w:sz w:val="20"/>
              </w:rPr>
              <w:t>1.熟悉图纸，逐一进行校对</w:t>
            </w:r>
          </w:p>
          <w:p>
            <w:pPr>
              <w:snapToGrid w:val="0"/>
              <w:spacing w:line="280" w:lineRule="exact"/>
              <w:rPr>
                <w:rFonts w:hint="eastAsia"/>
                <w:b/>
                <w:sz w:val="20"/>
              </w:rPr>
            </w:pPr>
            <w:r>
              <w:rPr>
                <w:rFonts w:hint="eastAsia"/>
                <w:b/>
                <w:sz w:val="20"/>
              </w:rPr>
              <w:t>2.挖塘（适用时）</w:t>
            </w:r>
          </w:p>
          <w:p>
            <w:pPr>
              <w:snapToGrid w:val="0"/>
              <w:spacing w:line="280" w:lineRule="exact"/>
              <w:rPr>
                <w:rFonts w:hint="eastAsia"/>
                <w:b/>
                <w:sz w:val="20"/>
              </w:rPr>
            </w:pPr>
            <w:r>
              <w:rPr>
                <w:rFonts w:hint="eastAsia"/>
                <w:b/>
                <w:sz w:val="20"/>
              </w:rPr>
              <w:t>3.换土</w:t>
            </w:r>
          </w:p>
          <w:p>
            <w:pPr>
              <w:snapToGrid w:val="0"/>
              <w:spacing w:line="280" w:lineRule="exact"/>
              <w:rPr>
                <w:rFonts w:hint="eastAsia"/>
                <w:b/>
                <w:sz w:val="20"/>
              </w:rPr>
            </w:pPr>
            <w:r>
              <w:rPr>
                <w:rFonts w:hint="eastAsia"/>
                <w:b/>
                <w:sz w:val="20"/>
              </w:rPr>
              <w:t>4.施基肥</w:t>
            </w:r>
          </w:p>
          <w:p>
            <w:pPr>
              <w:snapToGrid w:val="0"/>
              <w:spacing w:line="280" w:lineRule="exact"/>
              <w:rPr>
                <w:rFonts w:hint="eastAsia"/>
                <w:b/>
                <w:sz w:val="20"/>
              </w:rPr>
            </w:pPr>
            <w:r>
              <w:rPr>
                <w:rFonts w:hint="eastAsia"/>
                <w:b/>
                <w:sz w:val="20"/>
              </w:rPr>
              <w:t>5.扶正 根据规划要求，确保竖直就是苗木梢部与基部垂直</w:t>
            </w:r>
          </w:p>
          <w:p>
            <w:pPr>
              <w:snapToGrid w:val="0"/>
              <w:spacing w:line="280" w:lineRule="exact"/>
              <w:rPr>
                <w:rFonts w:hint="eastAsia"/>
                <w:b/>
                <w:sz w:val="20"/>
              </w:rPr>
            </w:pPr>
            <w:r>
              <w:rPr>
                <w:rFonts w:hint="eastAsia"/>
                <w:b/>
                <w:sz w:val="20"/>
              </w:rPr>
              <w:t>6.浇水培土</w:t>
            </w:r>
          </w:p>
          <w:p>
            <w:pPr>
              <w:snapToGrid w:val="0"/>
              <w:spacing w:line="280" w:lineRule="exact"/>
              <w:rPr>
                <w:rFonts w:hint="eastAsia"/>
                <w:b/>
                <w:sz w:val="20"/>
              </w:rPr>
            </w:pPr>
            <w:r>
              <w:rPr>
                <w:rFonts w:hint="eastAsia"/>
                <w:b/>
                <w:sz w:val="20"/>
              </w:rPr>
              <w:t xml:space="preserve">（3）整形 </w:t>
            </w:r>
          </w:p>
          <w:p>
            <w:pPr>
              <w:snapToGrid w:val="0"/>
              <w:spacing w:line="280" w:lineRule="exact"/>
              <w:rPr>
                <w:rFonts w:hint="eastAsia"/>
                <w:b/>
                <w:sz w:val="20"/>
              </w:rPr>
            </w:pPr>
            <w:r>
              <w:rPr>
                <w:rFonts w:hint="eastAsia"/>
                <w:b/>
                <w:sz w:val="20"/>
              </w:rPr>
              <w:t>短剪：剪去枝条的一部分，保留枝条一定长度和一定数量的杆体，对枝体有一定促进作用确保树形效果。</w:t>
            </w:r>
          </w:p>
          <w:p>
            <w:pPr>
              <w:snapToGrid w:val="0"/>
              <w:spacing w:line="280" w:lineRule="exact"/>
              <w:rPr>
                <w:rFonts w:hint="eastAsia"/>
                <w:b/>
                <w:sz w:val="20"/>
              </w:rPr>
            </w:pPr>
            <w:r>
              <w:rPr>
                <w:rFonts w:hint="eastAsia"/>
                <w:b/>
                <w:sz w:val="20"/>
              </w:rPr>
              <w:t>疏枝：将树冠中间的过密枝条按影响匀称的要求从基部剪去使枝条密度减小，树冠透风透光，减少水分蒸发。</w:t>
            </w:r>
          </w:p>
          <w:p>
            <w:pPr>
              <w:snapToGrid w:val="0"/>
              <w:spacing w:line="280" w:lineRule="exact"/>
              <w:rPr>
                <w:rFonts w:hint="eastAsia"/>
                <w:b/>
                <w:sz w:val="20"/>
              </w:rPr>
            </w:pPr>
            <w:r>
              <w:rPr>
                <w:rFonts w:hint="eastAsia"/>
                <w:b/>
                <w:sz w:val="20"/>
              </w:rPr>
              <w:t>（4）苗木支撑：主要程序有制桩、打桩、绑扎、清理</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7"/>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4"/>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4"/>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4"/>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13"/>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13"/>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5"/>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7"/>
            <w:vAlign w:val="center"/>
          </w:tcPr>
          <w:p>
            <w:pPr>
              <w:spacing w:after="0" w:line="240" w:lineRule="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大气污染物综合排放标准、污水综合排放标准、工业企业厂界噪声标准</w:t>
            </w:r>
          </w:p>
          <w:p>
            <w:pPr>
              <w:snapToGrid w:val="0"/>
              <w:spacing w:line="280" w:lineRule="exact"/>
              <w:jc w:val="both"/>
              <w:rPr>
                <w:rFonts w:ascii="Times New Roman" w:hAnsi="Times New Roman" w:eastAsia="宋体" w:cs="Times New Roman"/>
                <w:b/>
                <w:kern w:val="2"/>
                <w:sz w:val="20"/>
                <w:lang w:val="en-US" w:eastAsia="zh-CN" w:bidi="ar-SA"/>
              </w:rPr>
            </w:pPr>
            <w:r>
              <w:rPr>
                <w:rFonts w:hint="eastAsia" w:ascii="Times New Roman" w:hAnsi="Times New Roman" w:eastAsia="宋体" w:cs="Times New Roman"/>
                <w:sz w:val="21"/>
                <w:szCs w:val="24"/>
                <w:lang w:val="en-US" w:eastAsia="zh-CN"/>
              </w:rPr>
              <w:t>一般工业固体废物贮存、处置场污染控制标准</w:t>
            </w:r>
            <w:r>
              <w:rPr>
                <w:rFonts w:hint="eastAsia" w:cs="Times New Roman"/>
                <w:sz w:val="21"/>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7"/>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不适用</w:t>
            </w:r>
            <w:bookmarkStart w:id="3" w:name="_GoBack"/>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62336"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b/>
                <w:sz w:val="20"/>
                <w:lang w:val="en-US"/>
              </w:rPr>
            </w:pPr>
            <w:r>
              <w:rPr>
                <w:rFonts w:hint="eastAsia"/>
                <w:b/>
                <w:sz w:val="20"/>
                <w:lang w:val="en-US" w:eastAsia="zh-CN"/>
              </w:rPr>
              <w:t>2022.3.24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3360"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b/>
                <w:sz w:val="20"/>
                <w:lang w:val="en-US"/>
              </w:rPr>
            </w:pPr>
            <w:r>
              <w:rPr>
                <w:rFonts w:hint="eastAsia"/>
                <w:b/>
                <w:sz w:val="20"/>
                <w:lang w:val="en-US" w:eastAsia="zh-CN"/>
              </w:rPr>
              <w:t>2022.3.24</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945" w:firstLineChars="450"/>
      <w:jc w:val="left"/>
      <w:rPr>
        <w:rStyle w:val="12"/>
        <w:rFonts w:hint="default"/>
      </w:rPr>
    </w:pPr>
    <w:r>
      <w:rPr>
        <w:rStyle w:val="12"/>
        <w:rFonts w:hint="default"/>
      </w:rPr>
      <w:drawing>
        <wp:anchor distT="0" distB="0" distL="114300" distR="114300" simplePos="0" relativeHeight="251661312"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2"/>
        <w:rFonts w:hint="default"/>
        <w:w w:val="90"/>
      </w:rPr>
      <w:t>Beijing International Standard united Certification Co.,Ltd.</w:t>
    </w:r>
  </w:p>
  <w:p>
    <w:pPr>
      <w:pStyle w:val="6"/>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000000"/>
    <w:rsid w:val="198E7B5E"/>
    <w:rsid w:val="22361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440" w:lineRule="atLeast"/>
    </w:pPr>
    <w:rPr>
      <w:snapToGrid w:val="0"/>
      <w:kern w:val="0"/>
      <w:sz w:val="24"/>
    </w:rPr>
  </w:style>
  <w:style w:type="paragraph" w:styleId="3">
    <w:name w:val="Subtitle"/>
    <w:basedOn w:val="1"/>
    <w:next w:val="1"/>
    <w:qFormat/>
    <w:locked/>
    <w:uiPriority w:val="0"/>
    <w:pPr>
      <w:spacing w:before="240" w:after="60" w:line="312" w:lineRule="auto"/>
      <w:jc w:val="center"/>
      <w:outlineLvl w:val="1"/>
    </w:pPr>
    <w:rPr>
      <w:rFonts w:ascii="Arial" w:hAnsi="Arial" w:cs="Arial"/>
      <w:b/>
      <w:bCs/>
      <w:kern w:val="28"/>
      <w:sz w:val="32"/>
      <w:szCs w:val="32"/>
    </w:rPr>
  </w:style>
  <w:style w:type="paragraph" w:styleId="4">
    <w:name w:val="Balloon Text"/>
    <w:basedOn w:val="1"/>
    <w:link w:val="11"/>
    <w:semiHidden/>
    <w:unhideWhenUsed/>
    <w:qFormat/>
    <w:uiPriority w:val="99"/>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Char"/>
    <w:link w:val="5"/>
    <w:qFormat/>
    <w:locked/>
    <w:uiPriority w:val="99"/>
    <w:rPr>
      <w:rFonts w:ascii="Times New Roman" w:hAnsi="Times New Roman" w:eastAsia="宋体" w:cs="Times New Roman"/>
      <w:sz w:val="18"/>
      <w:szCs w:val="18"/>
    </w:rPr>
  </w:style>
  <w:style w:type="character" w:customStyle="1" w:styleId="10">
    <w:name w:val="页眉 Char"/>
    <w:link w:val="6"/>
    <w:qFormat/>
    <w:locked/>
    <w:uiPriority w:val="99"/>
    <w:rPr>
      <w:rFonts w:ascii="Times New Roman" w:hAnsi="Times New Roman" w:eastAsia="宋体" w:cs="Times New Roman"/>
      <w:sz w:val="18"/>
      <w:szCs w:val="18"/>
    </w:rPr>
  </w:style>
  <w:style w:type="character" w:customStyle="1" w:styleId="11">
    <w:name w:val="批注框文本 Char"/>
    <w:link w:val="4"/>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paragraph" w:customStyle="1" w:styleId="14">
    <w:name w:val="列出段落2"/>
    <w:basedOn w:val="1"/>
    <w:qFormat/>
    <w:uiPriority w:val="34"/>
    <w:pPr>
      <w:ind w:firstLine="420" w:firstLineChars="200"/>
    </w:pPr>
    <w:rPr>
      <w:rFonts w:ascii="Calibri" w:hAnsi="Calibri"/>
      <w:szCs w:val="22"/>
    </w:rPr>
  </w:style>
  <w:style w:type="character" w:customStyle="1" w:styleId="15">
    <w:name w:val="info-content-text"/>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2623</Words>
  <Characters>2862</Characters>
  <Lines>2</Lines>
  <Paragraphs>1</Paragraphs>
  <TotalTime>1</TotalTime>
  <ScaleCrop>false</ScaleCrop>
  <LinksUpToDate>false</LinksUpToDate>
  <CharactersWithSpaces>3172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2022-03-23T07:43:03Z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2052-11.1.0.11365</vt:lpwstr>
  </property>
</Properties>
</file>