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0236-2022-QEO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河北旋盈环境检测服务有限公司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河北旋盈环境检测服务有限公司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河北省鹿泉区军鼎科技园14号楼</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河北省鹿泉区军鼎科技园14号楼</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李贞宇</w:t>
            </w:r>
            <w:bookmarkEnd w:id="10"/>
          </w:p>
        </w:tc>
        <w:tc>
          <w:tcPr>
            <w:tcW w:w="1313" w:type="dxa"/>
            <w:vAlign w:val="center"/>
          </w:tcPr>
          <w:p>
            <w:r>
              <w:rPr>
                <w:rFonts w:hint="eastAsia"/>
              </w:rPr>
              <w:t>电话.</w:t>
            </w:r>
          </w:p>
        </w:tc>
        <w:tc>
          <w:tcPr>
            <w:tcW w:w="2180" w:type="dxa"/>
            <w:vAlign w:val="center"/>
          </w:tcPr>
          <w:p>
            <w:bookmarkStart w:id="11" w:name="联系人电话"/>
            <w:r>
              <w:t>18932928767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王进才</w:t>
            </w:r>
            <w:bookmarkEnd w:id="13"/>
          </w:p>
        </w:tc>
        <w:tc>
          <w:tcPr>
            <w:tcW w:w="1313" w:type="dxa"/>
            <w:vAlign w:val="center"/>
          </w:tcPr>
          <w:p>
            <w:r>
              <w:rPr>
                <w:rFonts w:hint="eastAsia"/>
              </w:rPr>
              <w:t>管理者代表</w:t>
            </w:r>
          </w:p>
        </w:tc>
        <w:tc>
          <w:tcPr>
            <w:tcW w:w="2180" w:type="dxa"/>
          </w:tcPr>
          <w:p>
            <w:bookmarkStart w:id="14" w:name="管理者代表"/>
            <w:r>
              <w:t>李贞宇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000000"/>
                <w:kern w:val="2"/>
                <w:sz w:val="21"/>
                <w:lang w:val="en-US" w:eastAsia="zh-CN" w:bidi="ar-SA"/>
              </w:rPr>
              <w:t>检测业务受理-</w:t>
            </w:r>
            <w:r>
              <w:rPr>
                <w:rFonts w:hint="eastAsia" w:cs="Times New Roman"/>
                <w:color w:val="000000"/>
                <w:kern w:val="2"/>
                <w:sz w:val="21"/>
                <w:lang w:val="en-US" w:eastAsia="zh-CN" w:bidi="ar-SA"/>
              </w:rPr>
              <w:t>-合同评审--签订委托检测协议--现场采样--样品接受与管理--编制检测方案--样品检测--数据处理--报告编制--报告发放--编制档案--发送至客户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2022年05月07日 上午至2022年05月08日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Q：资质范围内环境检测服务</w:t>
            </w:r>
          </w:p>
          <w:p>
            <w:r>
              <w:t>E：资质范围内环境检测服务所涉及场所的相关环境管理活动</w:t>
            </w:r>
          </w:p>
          <w:p>
            <w:r>
              <w:t>O：资质范围内环境检测服务所涉及场所的相关职业健康安全管理活动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01"/>
        <w:gridCol w:w="18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01" w:type="dxa"/>
            <w:shd w:val="clear" w:color="auto" w:fill="F3F3F3"/>
            <w:tcMar>
              <w:left w:w="57" w:type="dxa"/>
              <w:right w:w="57" w:type="dxa"/>
            </w:tcMar>
          </w:tcPr>
          <w:p>
            <w:r>
              <w:rPr>
                <w:rFonts w:hint="eastAsia"/>
              </w:rPr>
              <w:t>审核范围（产品和过程）</w:t>
            </w:r>
          </w:p>
          <w:p/>
          <w:p/>
        </w:tc>
        <w:tc>
          <w:tcPr>
            <w:tcW w:w="18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河北旋盈环境检测服务有限公司</w:t>
            </w:r>
            <w:r>
              <w:rPr>
                <w:rFonts w:hint="eastAsia"/>
                <w:sz w:val="21"/>
                <w:szCs w:val="21"/>
                <w:lang w:val="en-US" w:eastAsia="zh-CN"/>
              </w:rPr>
              <w:t>/</w:t>
            </w:r>
            <w:r>
              <w:rPr>
                <w:rFonts w:asciiTheme="minorEastAsia" w:hAnsiTheme="minorEastAsia" w:eastAsiaTheme="minorEastAsia"/>
                <w:sz w:val="20"/>
              </w:rPr>
              <w:t>河北省鹿泉区军鼎科技园14号楼</w:t>
            </w:r>
          </w:p>
        </w:tc>
        <w:tc>
          <w:tcPr>
            <w:tcW w:w="2267" w:type="dxa"/>
            <w:vAlign w:val="top"/>
          </w:tcPr>
          <w:p>
            <w:pPr>
              <w:spacing w:before="40" w:after="40"/>
              <w:rPr>
                <w:lang w:val="de-DE" w:eastAsia="ja-JP"/>
              </w:rPr>
            </w:pPr>
            <w:r>
              <w:rPr>
                <w:rFonts w:asciiTheme="minorEastAsia" w:hAnsiTheme="minorEastAsia" w:eastAsiaTheme="minorEastAsia"/>
                <w:sz w:val="20"/>
              </w:rPr>
              <w:t>河北省鹿泉区军鼎科技园14号楼</w:t>
            </w:r>
          </w:p>
        </w:tc>
        <w:tc>
          <w:tcPr>
            <w:tcW w:w="571" w:type="dxa"/>
            <w:vAlign w:val="center"/>
          </w:tcPr>
          <w:p>
            <w:pPr>
              <w:spacing w:before="40" w:after="40"/>
              <w:rPr>
                <w:lang w:eastAsia="ja-JP"/>
              </w:rPr>
            </w:pPr>
            <w:r>
              <w:rPr>
                <w:rFonts w:hint="eastAsia" w:eastAsia="黑体"/>
                <w:szCs w:val="21"/>
                <w:lang w:val="en-US" w:eastAsia="zh-CN"/>
              </w:rPr>
              <w:t>45</w:t>
            </w:r>
          </w:p>
        </w:tc>
        <w:tc>
          <w:tcPr>
            <w:tcW w:w="1601" w:type="dxa"/>
            <w:vAlign w:val="center"/>
          </w:tcPr>
          <w:p>
            <w:pPr>
              <w:pStyle w:val="20"/>
              <w:rPr>
                <w:lang w:eastAsia="ja-JP"/>
              </w:rPr>
            </w:pPr>
            <w:r>
              <w:rPr>
                <w:sz w:val="20"/>
              </w:rPr>
              <w:t>资质范围内环境检测服务</w:t>
            </w:r>
          </w:p>
        </w:tc>
        <w:tc>
          <w:tcPr>
            <w:tcW w:w="1871" w:type="dxa"/>
            <w:vAlign w:val="center"/>
          </w:tcPr>
          <w:p>
            <w:pPr>
              <w:spacing w:before="40" w:after="40"/>
              <w:rPr>
                <w:rFonts w:hint="eastAsia" w:ascii="宋体" w:hAnsi="宋体" w:eastAsia="宋体" w:cs="Times New Roman"/>
                <w:b/>
                <w:bCs/>
                <w:spacing w:val="10"/>
                <w:kern w:val="2"/>
                <w:sz w:val="21"/>
                <w:szCs w:val="21"/>
                <w:lang w:val="en-US" w:eastAsia="zh-CN" w:bidi="ar-SA"/>
              </w:rPr>
            </w:pPr>
            <w:r>
              <w:rPr>
                <w:rFonts w:hint="eastAsia" w:ascii="宋体" w:hAnsi="宋体" w:eastAsia="宋体" w:cs="Times New Roman"/>
                <w:b/>
                <w:bCs/>
                <w:spacing w:val="10"/>
                <w:kern w:val="2"/>
                <w:sz w:val="21"/>
                <w:szCs w:val="21"/>
                <w:lang w:val="en-US" w:eastAsia="zh-CN" w:bidi="ar-SA"/>
              </w:rPr>
              <w:t>GB/T19001-2016</w:t>
            </w:r>
          </w:p>
          <w:p>
            <w:pPr>
              <w:pStyle w:val="2"/>
              <w:rPr>
                <w:rFonts w:hint="eastAsia" w:ascii="宋体" w:hAnsi="宋体"/>
                <w:b/>
                <w:sz w:val="21"/>
                <w:szCs w:val="21"/>
              </w:rPr>
            </w:pPr>
            <w:r>
              <w:rPr>
                <w:rFonts w:hint="eastAsia" w:ascii="宋体" w:hAnsi="宋体"/>
                <w:b/>
                <w:sz w:val="21"/>
                <w:szCs w:val="21"/>
              </w:rPr>
              <w:t>GB/T24001-2016</w:t>
            </w:r>
          </w:p>
          <w:p>
            <w:pPr>
              <w:pStyle w:val="2"/>
              <w:rPr>
                <w:lang w:eastAsia="ja-JP"/>
              </w:rPr>
            </w:pPr>
            <w:r>
              <w:rPr>
                <w:rFonts w:hint="eastAsia" w:ascii="宋体" w:hAnsi="宋体"/>
                <w:b/>
                <w:sz w:val="21"/>
                <w:szCs w:val="21"/>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lang w:eastAsia="ja-JP"/>
              </w:rPr>
            </w:pPr>
            <w:r>
              <w:rPr>
                <w:rFonts w:hint="eastAsia" w:asciiTheme="minorEastAsia" w:hAnsiTheme="minorEastAsia" w:eastAsiaTheme="minorEastAsia"/>
                <w:sz w:val="20"/>
                <w:lang w:val="en-US" w:eastAsia="zh-CN"/>
              </w:rPr>
              <w:t>临时场所</w:t>
            </w:r>
          </w:p>
        </w:tc>
        <w:tc>
          <w:tcPr>
            <w:tcW w:w="2267" w:type="dxa"/>
            <w:vAlign w:val="center"/>
          </w:tcPr>
          <w:p>
            <w:pPr>
              <w:rPr>
                <w:lang w:eastAsia="ja-JP"/>
              </w:rPr>
            </w:pPr>
            <w:r>
              <w:rPr>
                <w:rFonts w:hint="eastAsia"/>
                <w:color w:val="000000"/>
                <w:lang w:eastAsia="zh-CN"/>
              </w:rPr>
              <w:t>鹿泉区军鼎科技园</w:t>
            </w:r>
            <w:r>
              <w:rPr>
                <w:rFonts w:hint="eastAsia"/>
                <w:color w:val="000000"/>
                <w:lang w:val="en-US" w:eastAsia="zh-CN"/>
              </w:rPr>
              <w:t>1号楼（</w:t>
            </w:r>
            <w:r>
              <w:rPr>
                <w:rFonts w:hint="eastAsia"/>
                <w:color w:val="000000"/>
                <w:lang w:eastAsia="zh-CN"/>
              </w:rPr>
              <w:t>石家庄新世纪生物工程有限公司</w:t>
            </w:r>
            <w:r>
              <w:rPr>
                <w:rFonts w:hint="eastAsia"/>
                <w:color w:val="000000"/>
                <w:lang w:val="en-US" w:eastAsia="zh-CN"/>
              </w:rPr>
              <w:t>）</w:t>
            </w:r>
          </w:p>
        </w:tc>
        <w:tc>
          <w:tcPr>
            <w:tcW w:w="571" w:type="dxa"/>
            <w:vAlign w:val="center"/>
          </w:tcPr>
          <w:p>
            <w:pPr>
              <w:spacing w:before="40" w:after="40"/>
              <w:rPr>
                <w:lang w:eastAsia="ja-JP"/>
              </w:rPr>
            </w:pPr>
            <w:r>
              <w:rPr>
                <w:rFonts w:hint="eastAsia" w:eastAsia="黑体"/>
                <w:szCs w:val="21"/>
                <w:lang w:val="en-US" w:eastAsia="zh-CN"/>
              </w:rPr>
              <w:t>2</w:t>
            </w:r>
          </w:p>
        </w:tc>
        <w:tc>
          <w:tcPr>
            <w:tcW w:w="1601" w:type="dxa"/>
            <w:vAlign w:val="center"/>
          </w:tcPr>
          <w:p>
            <w:pPr>
              <w:spacing w:before="40" w:after="40"/>
              <w:rPr>
                <w:lang w:eastAsia="ja-JP"/>
              </w:rPr>
            </w:pPr>
            <w:r>
              <w:rPr>
                <w:sz w:val="20"/>
              </w:rPr>
              <w:t>资质范围内环境检测服务</w:t>
            </w:r>
          </w:p>
        </w:tc>
        <w:tc>
          <w:tcPr>
            <w:tcW w:w="1871" w:type="dxa"/>
            <w:vAlign w:val="center"/>
          </w:tcPr>
          <w:p>
            <w:pPr>
              <w:spacing w:before="40" w:after="40"/>
              <w:rPr>
                <w:rFonts w:hint="eastAsia" w:ascii="宋体" w:hAnsi="宋体" w:eastAsia="宋体" w:cs="Times New Roman"/>
                <w:b/>
                <w:bCs/>
                <w:spacing w:val="10"/>
                <w:kern w:val="2"/>
                <w:sz w:val="21"/>
                <w:szCs w:val="21"/>
                <w:lang w:val="en-US" w:eastAsia="zh-CN" w:bidi="ar-SA"/>
              </w:rPr>
            </w:pPr>
            <w:r>
              <w:rPr>
                <w:rFonts w:hint="eastAsia" w:ascii="宋体" w:hAnsi="宋体" w:eastAsia="宋体" w:cs="Times New Roman"/>
                <w:b/>
                <w:bCs/>
                <w:spacing w:val="10"/>
                <w:kern w:val="2"/>
                <w:sz w:val="21"/>
                <w:szCs w:val="21"/>
                <w:lang w:val="en-US" w:eastAsia="zh-CN" w:bidi="ar-SA"/>
              </w:rPr>
              <w:t>GB/T19001-2016</w:t>
            </w:r>
          </w:p>
          <w:p>
            <w:pPr>
              <w:pStyle w:val="2"/>
              <w:rPr>
                <w:rFonts w:hint="eastAsia" w:ascii="宋体" w:hAnsi="宋体"/>
                <w:b/>
                <w:sz w:val="21"/>
                <w:szCs w:val="21"/>
              </w:rPr>
            </w:pPr>
            <w:r>
              <w:rPr>
                <w:rFonts w:hint="eastAsia" w:ascii="宋体" w:hAnsi="宋体"/>
                <w:b/>
                <w:sz w:val="21"/>
                <w:szCs w:val="21"/>
              </w:rPr>
              <w:t>GB/T24001-2016</w:t>
            </w:r>
          </w:p>
          <w:p>
            <w:pPr>
              <w:spacing w:before="40" w:after="40"/>
              <w:rPr>
                <w:lang w:eastAsia="ja-JP"/>
              </w:rPr>
            </w:pPr>
            <w:r>
              <w:rPr>
                <w:rFonts w:hint="eastAsia" w:ascii="宋体" w:hAnsi="宋体"/>
                <w:b/>
                <w:sz w:val="21"/>
                <w:szCs w:val="21"/>
              </w:rPr>
              <w:t>GB/T45001-2020</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01" w:type="dxa"/>
            <w:vAlign w:val="center"/>
          </w:tcPr>
          <w:p>
            <w:pPr>
              <w:rPr>
                <w:lang w:eastAsia="ja-JP"/>
              </w:rPr>
            </w:pPr>
          </w:p>
        </w:tc>
        <w:tc>
          <w:tcPr>
            <w:tcW w:w="18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01" w:type="dxa"/>
            <w:vAlign w:val="center"/>
          </w:tcPr>
          <w:p>
            <w:pPr>
              <w:rPr>
                <w:lang w:eastAsia="ja-JP"/>
              </w:rPr>
            </w:pPr>
          </w:p>
        </w:tc>
        <w:tc>
          <w:tcPr>
            <w:tcW w:w="18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01" w:type="dxa"/>
            <w:vAlign w:val="center"/>
          </w:tcPr>
          <w:p>
            <w:pPr>
              <w:rPr>
                <w:lang w:eastAsia="ja-JP"/>
              </w:rPr>
            </w:pPr>
          </w:p>
        </w:tc>
        <w:tc>
          <w:tcPr>
            <w:tcW w:w="18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2021-N1QMS-4021820</w:t>
            </w:r>
          </w:p>
          <w:p>
            <w:r>
              <w:t>2021-N1EMS-4021820</w:t>
            </w:r>
          </w:p>
          <w:p>
            <w:r>
              <w:t>2020-N1OHSMS-4021820</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1（合并）</w:t>
            </w:r>
          </w:p>
        </w:tc>
        <w:tc>
          <w:tcPr>
            <w:tcW w:w="1717" w:type="dxa"/>
          </w:tcPr>
          <w:p/>
        </w:tc>
        <w:tc>
          <w:tcPr>
            <w:tcW w:w="1560" w:type="dxa"/>
          </w:tcPr>
          <w:p>
            <w:pPr>
              <w:rPr>
                <w:rFonts w:hint="eastAsia" w:eastAsia="宋体"/>
                <w:lang w:val="en-US" w:eastAsia="zh-CN"/>
              </w:rPr>
            </w:pPr>
            <w:r>
              <w:rPr>
                <w:rFonts w:hint="eastAsia"/>
                <w:lang w:val="en-US" w:eastAsia="zh-CN"/>
              </w:rPr>
              <w:t>1（合并）</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1（合并）</w:t>
            </w:r>
          </w:p>
        </w:tc>
        <w:tc>
          <w:tcPr>
            <w:tcW w:w="1717" w:type="dxa"/>
          </w:tcPr>
          <w:p/>
        </w:tc>
        <w:tc>
          <w:tcPr>
            <w:tcW w:w="1560" w:type="dxa"/>
          </w:tcPr>
          <w:p>
            <w:pPr>
              <w:rPr>
                <w:rFonts w:hint="eastAsia" w:eastAsia="宋体"/>
                <w:lang w:val="en-US" w:eastAsia="zh-CN"/>
              </w:rPr>
            </w:pPr>
            <w:r>
              <w:rPr>
                <w:rFonts w:hint="eastAsia"/>
                <w:lang w:val="en-US" w:eastAsia="zh-CN"/>
              </w:rPr>
              <w:t>1（合并）</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1（合并）</w:t>
            </w:r>
          </w:p>
        </w:tc>
        <w:tc>
          <w:tcPr>
            <w:tcW w:w="1717" w:type="dxa"/>
          </w:tcPr>
          <w:p/>
        </w:tc>
        <w:tc>
          <w:tcPr>
            <w:tcW w:w="1560" w:type="dxa"/>
          </w:tcPr>
          <w:p>
            <w:pPr>
              <w:rPr>
                <w:rFonts w:hint="eastAsia" w:eastAsia="宋体"/>
                <w:lang w:val="en-US" w:eastAsia="zh-CN"/>
              </w:rPr>
            </w:pPr>
            <w:r>
              <w:rPr>
                <w:rFonts w:hint="eastAsia"/>
                <w:lang w:val="en-US" w:eastAsia="zh-CN"/>
              </w:rPr>
              <w:t>1（合并）</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12065</wp:posOffset>
                  </wp:positionV>
                  <wp:extent cx="1242060" cy="254635"/>
                  <wp:effectExtent l="0" t="0" r="0" b="1206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1242060" cy="25463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原材料订制</w:t>
            </w:r>
            <w:r>
              <w:rPr>
                <w:rFonts w:hint="eastAsia"/>
              </w:rPr>
              <w:sym w:font="Wingdings 2" w:char="00A3"/>
            </w:r>
            <w:r>
              <w:rPr>
                <w:rFonts w:hint="eastAsia"/>
              </w:rPr>
              <w:t>生产/服务过程</w:t>
            </w:r>
            <w:r>
              <w:rPr>
                <w:rFonts w:hint="eastAsia"/>
              </w:rPr>
              <w:sym w:font="Wingdings 2" w:char="0052"/>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b/>
                <w:bCs/>
              </w:rPr>
            </w:pPr>
            <w:r>
              <w:rPr>
                <w:rFonts w:hint="eastAsia"/>
              </w:rPr>
              <w:t>最高管理者制定了文件化的管理体系方针：</w:t>
            </w:r>
            <w:r>
              <w:rPr>
                <w:rFonts w:hint="eastAsia" w:ascii="Times New Roman" w:hAnsi="Times New Roman" w:cs="Times New Roman"/>
                <w:b/>
                <w:bCs/>
              </w:rPr>
              <w:t xml:space="preserve">科学、规范、公正 </w:t>
            </w:r>
            <w:r>
              <w:rPr>
                <w:rFonts w:hint="eastAsia" w:ascii="Times New Roman" w:hAnsi="Times New Roman" w:cs="Times New Roman"/>
                <w:b/>
                <w:bCs/>
                <w:lang w:eastAsia="zh-CN"/>
              </w:rPr>
              <w:t>、</w:t>
            </w:r>
            <w:r>
              <w:rPr>
                <w:rFonts w:hint="eastAsia" w:ascii="Times New Roman" w:hAnsi="Times New Roman" w:cs="Times New Roman"/>
                <w:b/>
                <w:bCs/>
              </w:rPr>
              <w:t>科学</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法律法规风险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及时识别和更新并进行合规性评价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采样过程风险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培训采样人员，具备上岗资格</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检验过程试剂或药品失效</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及时检查发现问题迅速整改</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报告审核审批</w:t>
                  </w:r>
                </w:p>
              </w:tc>
              <w:tc>
                <w:tcPr>
                  <w:tcW w:w="3965" w:type="dxa"/>
                </w:tcPr>
                <w:p>
                  <w:pPr>
                    <w:shd w:val="clear" w:color="auto" w:fill="C7DAF1" w:themeFill="text2" w:themeFillTint="32"/>
                    <w:rPr>
                      <w:rFonts w:hint="default" w:eastAsia="宋体"/>
                      <w:lang w:val="en-US" w:eastAsia="zh-CN"/>
                    </w:rPr>
                  </w:pPr>
                  <w:r>
                    <w:rPr>
                      <w:rFonts w:hint="eastAsia"/>
                      <w:lang w:val="en-US" w:eastAsia="zh-CN"/>
                    </w:rPr>
                    <w:t>审核审批人员经任命有资格上岗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rPr>
                  </w:pPr>
                  <w:r>
                    <w:rPr>
                      <w:rFonts w:hint="eastAsia" w:ascii="宋体" w:hAnsi="宋体" w:cs="Times New Roman"/>
                      <w:lang w:val="en-US" w:eastAsia="zh-CN"/>
                    </w:rPr>
                    <w:t>检测报告及时率 100%，非关键出错率小于 1%</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已交付报告/应交付报告x100%;</w:t>
                  </w:r>
                </w:p>
                <w:p>
                  <w:pPr>
                    <w:pStyle w:val="2"/>
                    <w:rPr>
                      <w:rFonts w:hint="default"/>
                      <w:lang w:val="en-US" w:eastAsia="zh-CN"/>
                    </w:rPr>
                  </w:pP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rPr>
                  </w:pPr>
                  <w:r>
                    <w:rPr>
                      <w:rFonts w:hint="eastAsia" w:ascii="宋体" w:hAnsi="宋体" w:cs="Times New Roman"/>
                      <w:lang w:val="en-US" w:eastAsia="zh-CN"/>
                    </w:rPr>
                    <w:t>合同履约率 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按时履约合同/总合同x100%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rPr>
                  </w:pPr>
                  <w:r>
                    <w:rPr>
                      <w:rFonts w:hint="eastAsia" w:ascii="宋体" w:hAnsi="宋体" w:cs="Times New Roman"/>
                      <w:lang w:val="en-US" w:eastAsia="zh-CN"/>
                    </w:rPr>
                    <w:t>顾客和相关方满意率 98%以上</w:t>
                  </w:r>
                </w:p>
              </w:tc>
              <w:tc>
                <w:tcPr>
                  <w:tcW w:w="3136"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按照顾客满意度调查计算</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3600</w:t>
            </w:r>
            <w:r>
              <w:rPr>
                <w:rFonts w:hint="eastAsia"/>
              </w:rPr>
              <w:t>平方米；库房</w:t>
            </w:r>
            <w:r>
              <w:rPr>
                <w:rFonts w:hint="eastAsia"/>
                <w:lang w:val="en-US" w:eastAsia="zh-CN"/>
              </w:rPr>
              <w:t>3个</w:t>
            </w:r>
            <w:r>
              <w:rPr>
                <w:rFonts w:hint="eastAsia"/>
              </w:rPr>
              <w:t>；实验室</w:t>
            </w:r>
            <w:r>
              <w:rPr>
                <w:rFonts w:hint="eastAsia"/>
                <w:lang w:eastAsia="zh-CN"/>
              </w:rPr>
              <w:t>：</w:t>
            </w:r>
            <w:r>
              <w:rPr>
                <w:rFonts w:hint="eastAsia"/>
                <w:lang w:val="en-US" w:eastAsia="zh-CN"/>
              </w:rPr>
              <w:t>两层(1300m</w:t>
            </w:r>
            <w:r>
              <w:rPr>
                <w:rFonts w:hint="eastAsia"/>
                <w:vertAlign w:val="superscript"/>
                <w:lang w:val="en-US" w:eastAsia="zh-CN"/>
              </w:rPr>
              <w:t>2</w:t>
            </w:r>
            <w:r>
              <w:rPr>
                <w:rFonts w:hint="eastAsia"/>
                <w:lang w:val="en-US" w:eastAsia="zh-CN"/>
              </w:rPr>
              <w:t xml:space="preserve">） </w:t>
            </w:r>
            <w:r>
              <w:rPr>
                <w:rFonts w:hint="eastAsia"/>
              </w:rPr>
              <w:t>；</w:t>
            </w:r>
          </w:p>
          <w:p>
            <w:pPr>
              <w:shd w:val="clear" w:color="auto" w:fill="C7DAF1" w:themeFill="text2" w:themeFillTint="32"/>
              <w:rPr>
                <w:u w:val="single"/>
              </w:rPr>
            </w:pPr>
            <w:r>
              <w:rPr>
                <w:rFonts w:hint="eastAsia"/>
              </w:rPr>
              <w:t>主要生产设备有：</w:t>
            </w:r>
            <w:r>
              <w:rPr>
                <w:rFonts w:hint="eastAsia" w:ascii="Wingdings" w:hAnsi="Wingdings" w:cs="Times New Roman"/>
                <w:u w:val="single"/>
                <w:lang w:val="en-US" w:eastAsia="zh-CN"/>
              </w:rPr>
              <w:t>紫外可见分光光度计、生化培养箱、二十四小时恒温自动连续采样</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气相色谱-质谱联用仪、原子吸收分光光度计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中华人民共和国产品质量法，已开具不符合。</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cs="Times New Roman"/>
                <w:u w:val="single"/>
                <w:lang w:val="en-US" w:eastAsia="zh-CN"/>
              </w:rPr>
              <w:t>土壤和沉积物中甲基叔丁基醚操作规范作业指导书（第1版）</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检测服务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现场确认</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现场勘察与顾客进行沟通，编制监测方案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检验方法确认</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编制检测方案，确定检测方法的使用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现场确认、检验方法确认</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rPr>
                <w:rFonts w:hint="default" w:eastAsia="宋体"/>
                <w:lang w:val="en-US" w:eastAsia="zh-CN"/>
              </w:rPr>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val="en-US" w:eastAsia="zh-CN"/>
              </w:rPr>
              <w:t>现场审核时发现样品间有个别样品未标识，已与企业进行沟通。</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A3"/>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b/>
                <w:bCs/>
              </w:rPr>
            </w:pPr>
            <w:r>
              <w:rPr>
                <w:rFonts w:hint="eastAsia"/>
              </w:rPr>
              <w:t>最高管理者制定了文件化的管理体系方针：</w:t>
            </w:r>
            <w:r>
              <w:rPr>
                <w:rFonts w:hint="eastAsia" w:ascii="Times New Roman" w:hAnsi="Times New Roman" w:cs="Times New Roman"/>
                <w:b/>
                <w:bCs/>
                <w:lang w:val="en-US" w:eastAsia="zh-CN"/>
              </w:rPr>
              <w:t>防止污染，环境和谐，共建绿色家园</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法律法规风险</w:t>
                  </w:r>
                </w:p>
              </w:tc>
              <w:tc>
                <w:tcPr>
                  <w:tcW w:w="3965"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及时识别和更新并进行合规性评价</w:t>
                  </w:r>
                </w:p>
              </w:tc>
              <w:tc>
                <w:tcPr>
                  <w:tcW w:w="1717" w:type="dxa"/>
                  <w:shd w:val="clear" w:color="auto" w:fill="EBF1DE" w:themeFill="accent3" w:themeFillTint="32"/>
                  <w:vAlign w:val="top"/>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采样过程风险造成样品作废</w:t>
                  </w:r>
                </w:p>
              </w:tc>
              <w:tc>
                <w:tcPr>
                  <w:tcW w:w="3965"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培训采样人员，具备上岗资格</w:t>
                  </w:r>
                </w:p>
              </w:tc>
              <w:tc>
                <w:tcPr>
                  <w:tcW w:w="1717" w:type="dxa"/>
                  <w:shd w:val="clear" w:color="auto" w:fill="EBF1DE" w:themeFill="accent3" w:themeFillTint="32"/>
                  <w:vAlign w:val="top"/>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检验过程试剂或药品失效</w:t>
                  </w:r>
                </w:p>
              </w:tc>
              <w:tc>
                <w:tcPr>
                  <w:tcW w:w="3965"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及时检查发现问题迅速整改，失效药品合规处置</w:t>
                  </w:r>
                </w:p>
              </w:tc>
              <w:tc>
                <w:tcPr>
                  <w:tcW w:w="1717" w:type="dxa"/>
                  <w:shd w:val="clear" w:color="auto" w:fill="EBF1DE" w:themeFill="accent3" w:themeFillTint="32"/>
                  <w:vAlign w:val="top"/>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p>
              </w:tc>
              <w:tc>
                <w:tcPr>
                  <w:tcW w:w="3965" w:type="dxa"/>
                  <w:shd w:val="clear" w:color="auto" w:fill="EBF1DE" w:themeFill="accent3" w:themeFillTint="32"/>
                  <w:vAlign w:val="top"/>
                </w:tcPr>
                <w:p>
                  <w:pPr>
                    <w:shd w:val="clear" w:color="auto" w:fill="EBF1DE" w:themeFill="accent3" w:themeFillTint="32"/>
                    <w:rPr>
                      <w:rFonts w:hint="default" w:ascii="Times New Roman" w:hAnsi="Times New Roman" w:cs="Times New Roman"/>
                      <w:lang w:val="en-US" w:eastAsia="zh-CN"/>
                    </w:rPr>
                  </w:pPr>
                </w:p>
              </w:tc>
              <w:tc>
                <w:tcPr>
                  <w:tcW w:w="1717" w:type="dxa"/>
                  <w:shd w:val="clear" w:color="auto" w:fill="EBF1DE" w:themeFill="accent3" w:themeFillTint="32"/>
                  <w:vAlign w:val="top"/>
                </w:tcPr>
                <w:p>
                  <w:pPr>
                    <w:shd w:val="clear" w:color="auto" w:fill="EBF1DE" w:themeFill="accent3" w:themeFillTint="32"/>
                    <w:rPr>
                      <w:rFonts w:hint="eastAsia" w:ascii="Times New Roman" w:hAnsi="Times New Roman" w:cs="Times New Roman"/>
                      <w:lang w:val="en-US" w:eastAsia="zh-C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rPr>
                <w:rFonts w:hint="default" w:eastAsia="宋体"/>
                <w:lang w:val="en-US" w:eastAsia="zh-CN"/>
              </w:rPr>
            </w:pPr>
            <w:r>
              <w:rPr>
                <w:rFonts w:hint="eastAsia"/>
              </w:rPr>
              <w:t>□环境影响登记表</w:t>
            </w:r>
            <w:r>
              <w:rPr>
                <w:rFonts w:hint="eastAsia"/>
                <w:lang w:val="en-US" w:eastAsia="zh-CN"/>
              </w:rPr>
              <w:t>批复</w:t>
            </w:r>
            <w:r>
              <w:rPr>
                <w:rFonts w:hint="eastAsia"/>
              </w:rPr>
              <w:t>日期：</w:t>
            </w:r>
            <w:r>
              <w:rPr>
                <w:rFonts w:hint="eastAsia"/>
                <w:lang w:val="en-US" w:eastAsia="zh-CN"/>
              </w:rPr>
              <w:t>2019.8.5</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固体废弃物按规定处置，达标率 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合规储存，与第三方签订协议合规处置</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废液按规定处置，达标率 100%</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合规储存，与第三方签订协议合规处置</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组织应确定、提供并维护所需的基础设施情况：</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建筑面积</w:t>
            </w:r>
            <w:r>
              <w:rPr>
                <w:rFonts w:hint="eastAsia" w:ascii="Times New Roman" w:hAnsi="Times New Roman" w:cs="Times New Roman"/>
                <w:lang w:val="en-US" w:eastAsia="zh-CN"/>
              </w:rPr>
              <w:t>3600</w:t>
            </w:r>
            <w:r>
              <w:rPr>
                <w:rFonts w:hint="eastAsia" w:ascii="Times New Roman" w:hAnsi="Times New Roman" w:cs="Times New Roman"/>
              </w:rPr>
              <w:t>平方米；库房</w:t>
            </w:r>
            <w:r>
              <w:rPr>
                <w:rFonts w:hint="eastAsia" w:ascii="Times New Roman" w:hAnsi="Times New Roman" w:cs="Times New Roman"/>
                <w:lang w:val="en-US" w:eastAsia="zh-CN"/>
              </w:rPr>
              <w:t>3个</w:t>
            </w:r>
            <w:r>
              <w:rPr>
                <w:rFonts w:hint="eastAsia" w:ascii="Times New Roman" w:hAnsi="Times New Roman" w:cs="Times New Roman"/>
              </w:rPr>
              <w:t>；实验室</w:t>
            </w:r>
            <w:r>
              <w:rPr>
                <w:rFonts w:hint="eastAsia" w:ascii="Times New Roman" w:hAnsi="Times New Roman" w:cs="Times New Roman"/>
                <w:lang w:eastAsia="zh-CN"/>
              </w:rPr>
              <w:t>：</w:t>
            </w:r>
            <w:r>
              <w:rPr>
                <w:rFonts w:hint="eastAsia" w:ascii="Times New Roman" w:hAnsi="Times New Roman" w:cs="Times New Roman"/>
                <w:lang w:val="en-US" w:eastAsia="zh-CN"/>
              </w:rPr>
              <w:t xml:space="preserve">两层(1300m2） </w:t>
            </w:r>
            <w:r>
              <w:rPr>
                <w:rFonts w:hint="eastAsia" w:ascii="Times New Roman" w:hAnsi="Times New Roman" w:cs="Times New Roman"/>
              </w:rPr>
              <w:t>；</w:t>
            </w:r>
          </w:p>
          <w:p>
            <w:pPr>
              <w:shd w:val="clear" w:color="auto" w:fill="EBF1DE" w:themeFill="accent3" w:themeFillTint="32"/>
              <w:rPr>
                <w:rFonts w:hint="eastAsia" w:ascii="Times New Roman" w:hAnsi="Times New Roman" w:cs="Times New Roman"/>
                <w:u w:val="single"/>
                <w:lang w:val="en-US" w:eastAsia="zh-CN"/>
              </w:rPr>
            </w:pPr>
            <w:r>
              <w:rPr>
                <w:rFonts w:hint="eastAsia" w:ascii="Times New Roman" w:hAnsi="Times New Roman" w:cs="Times New Roman"/>
              </w:rPr>
              <w:t>主要生产设备有：</w:t>
            </w:r>
            <w:r>
              <w:rPr>
                <w:rFonts w:hint="eastAsia" w:ascii="Times New Roman" w:hAnsi="Times New Roman" w:cs="Times New Roman"/>
                <w:u w:val="single"/>
                <w:lang w:val="en-US" w:eastAsia="zh-CN"/>
              </w:rPr>
              <w:t>紫外可见分光光度计、生化培养箱、二十四小时恒温自动连续采样</w:t>
            </w:r>
            <w:r>
              <w:rPr>
                <w:rFonts w:hint="eastAsia" w:ascii="Times New Roman" w:hAnsi="Times New Roman" w:cs="Times New Roman"/>
              </w:rPr>
              <w:t>（列举2~4种）</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主要环保设备有：（列举2~4种）</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特种设备：</w:t>
            </w:r>
            <w:r>
              <w:rPr>
                <w:rFonts w:hint="eastAsia" w:ascii="Times New Roman" w:hAnsi="Times New Roman" w:cs="Times New Roman"/>
                <w:lang w:eastAsia="zh-CN"/>
              </w:rPr>
              <w:t>□</w:t>
            </w:r>
            <w:r>
              <w:rPr>
                <w:rFonts w:hint="eastAsia" w:ascii="Times New Roman" w:hAnsi="Times New Roman" w:cs="Times New Roman"/>
              </w:rPr>
              <w:t>叉车</w:t>
            </w:r>
            <w:r>
              <w:rPr>
                <w:rFonts w:hint="eastAsia" w:ascii="Times New Roman" w:hAnsi="Times New Roman" w:cs="Times New Roman"/>
                <w:lang w:eastAsia="zh-CN"/>
              </w:rPr>
              <w:t>□</w:t>
            </w:r>
            <w:r>
              <w:rPr>
                <w:rFonts w:hint="eastAsia" w:ascii="Times New Roman" w:hAnsi="Times New Roman" w:cs="Times New Roman"/>
              </w:rPr>
              <w:t>行车</w:t>
            </w:r>
            <w:r>
              <w:rPr>
                <w:rFonts w:hint="eastAsia" w:ascii="Times New Roman" w:hAnsi="Times New Roman" w:cs="Times New Roman"/>
                <w:lang w:eastAsia="zh-CN"/>
              </w:rPr>
              <w:t>□</w:t>
            </w:r>
            <w:r>
              <w:rPr>
                <w:rFonts w:hint="eastAsia" w:ascii="Times New Roman" w:hAnsi="Times New Roman" w:cs="Times New Roman"/>
              </w:rPr>
              <w:t>锅炉</w:t>
            </w:r>
            <w:r>
              <w:rPr>
                <w:rFonts w:hint="eastAsia" w:ascii="Times New Roman" w:hAnsi="Times New Roman" w:cs="Times New Roman"/>
                <w:lang w:eastAsia="zh-CN"/>
              </w:rPr>
              <w:t>□</w:t>
            </w:r>
            <w:r>
              <w:rPr>
                <w:rFonts w:hint="eastAsia" w:ascii="Times New Roman" w:hAnsi="Times New Roman" w:cs="Times New Roman"/>
              </w:rPr>
              <w:t>电梯</w:t>
            </w:r>
            <w:r>
              <w:rPr>
                <w:rFonts w:hint="eastAsia" w:ascii="Times New Roman" w:hAnsi="Times New Roman" w:cs="Times New Roman"/>
                <w:lang w:eastAsia="zh-CN"/>
              </w:rPr>
              <w:sym w:font="Wingdings 2" w:char="0052"/>
            </w:r>
            <w:r>
              <w:rPr>
                <w:rFonts w:hint="eastAsia" w:ascii="Times New Roman" w:hAnsi="Times New Roman" w:cs="Times New Roman"/>
              </w:rPr>
              <w:t>压力容器</w:t>
            </w:r>
            <w:r>
              <w:rPr>
                <w:rFonts w:hint="eastAsia" w:ascii="Times New Roman" w:hAnsi="Times New Roman" w:cs="Times New Roman"/>
                <w:lang w:eastAsia="zh-CN"/>
              </w:rPr>
              <w:t>□</w:t>
            </w:r>
            <w:r>
              <w:rPr>
                <w:rFonts w:hint="eastAsia" w:ascii="Times New Roman" w:hAnsi="Times New Roman" w:cs="Times New Roman"/>
              </w:rPr>
              <w:t>压力管道</w:t>
            </w:r>
            <w:r>
              <w:rPr>
                <w:rFonts w:hint="eastAsia" w:ascii="Times New Roman" w:hAnsi="Times New Roman" w:cs="Times New Roman"/>
                <w:lang w:eastAsia="zh-CN"/>
              </w:rPr>
              <w:t>□</w:t>
            </w:r>
            <w:r>
              <w:rPr>
                <w:rFonts w:hint="eastAsia" w:ascii="Times New Roman" w:hAnsi="Times New Roman" w:cs="Times New Roman"/>
              </w:rPr>
              <w:t>不适用</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辅助场所：</w:t>
            </w:r>
            <w:r>
              <w:rPr>
                <w:rFonts w:hint="eastAsia" w:ascii="Times New Roman" w:hAnsi="Times New Roman" w:cs="Times New Roman"/>
                <w:lang w:eastAsia="zh-CN"/>
              </w:rPr>
              <w:t>□</w:t>
            </w:r>
            <w:r>
              <w:rPr>
                <w:rFonts w:hint="eastAsia" w:ascii="Times New Roman" w:hAnsi="Times New Roman" w:cs="Times New Roman"/>
              </w:rPr>
              <w:t>高压配电室</w:t>
            </w:r>
            <w:r>
              <w:rPr>
                <w:rFonts w:hint="eastAsia" w:ascii="Times New Roman" w:hAnsi="Times New Roman" w:cs="Times New Roman"/>
                <w:lang w:eastAsia="zh-CN"/>
              </w:rPr>
              <w:t>□</w:t>
            </w:r>
            <w:r>
              <w:rPr>
                <w:rFonts w:hint="eastAsia" w:ascii="Times New Roman" w:hAnsi="Times New Roman" w:cs="Times New Roman"/>
              </w:rPr>
              <w:t>低压配电室</w:t>
            </w:r>
            <w:r>
              <w:rPr>
                <w:rFonts w:hint="eastAsia" w:ascii="Times New Roman" w:hAnsi="Times New Roman" w:cs="Times New Roman"/>
                <w:lang w:eastAsia="zh-CN"/>
              </w:rPr>
              <w:t>□</w:t>
            </w:r>
            <w:r>
              <w:rPr>
                <w:rFonts w:hint="eastAsia" w:ascii="Times New Roman" w:hAnsi="Times New Roman" w:cs="Times New Roman"/>
              </w:rPr>
              <w:t>空压站</w:t>
            </w:r>
            <w:r>
              <w:rPr>
                <w:rFonts w:hint="eastAsia" w:ascii="Times New Roman" w:hAnsi="Times New Roman" w:cs="Times New Roman"/>
                <w:lang w:eastAsia="zh-CN"/>
              </w:rPr>
              <w:t>□</w:t>
            </w:r>
            <w:r>
              <w:rPr>
                <w:rFonts w:hint="eastAsia" w:ascii="Times New Roman" w:hAnsi="Times New Roman" w:cs="Times New Roman"/>
              </w:rPr>
              <w:t>锅炉房</w:t>
            </w:r>
            <w:r>
              <w:rPr>
                <w:rFonts w:hint="eastAsia" w:ascii="Times New Roman" w:hAnsi="Times New Roman" w:cs="Times New Roman"/>
                <w:lang w:eastAsia="zh-CN"/>
              </w:rPr>
              <w:sym w:font="Wingdings 2" w:char="0052"/>
            </w:r>
            <w:r>
              <w:rPr>
                <w:rFonts w:hint="eastAsia" w:ascii="Times New Roman" w:hAnsi="Times New Roman" w:cs="Times New Roman"/>
              </w:rPr>
              <w:t>食堂</w:t>
            </w:r>
            <w:r>
              <w:rPr>
                <w:rFonts w:hint="eastAsia" w:ascii="Times New Roman" w:hAnsi="Times New Roman" w:cs="Times New Roman"/>
                <w:lang w:eastAsia="zh-CN"/>
              </w:rPr>
              <w:sym w:font="Wingdings 2" w:char="0052"/>
            </w:r>
            <w:r>
              <w:rPr>
                <w:rFonts w:hint="eastAsia" w:ascii="Times New Roman" w:hAnsi="Times New Roman" w:cs="Times New Roman"/>
              </w:rPr>
              <w:t>危化品库</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lang w:eastAsia="zh-CN"/>
              </w:rPr>
              <w:sym w:font="Wingdings 2" w:char="0052"/>
            </w:r>
            <w:r>
              <w:rPr>
                <w:rFonts w:hint="eastAsia" w:ascii="Times New Roman" w:hAnsi="Times New Roman" w:cs="Times New Roman"/>
              </w:rPr>
              <w:t>危废库</w:t>
            </w:r>
            <w:r>
              <w:rPr>
                <w:rFonts w:hint="eastAsia" w:ascii="Times New Roman" w:hAnsi="Times New Roman" w:cs="Times New Roman"/>
                <w:lang w:eastAsia="zh-CN"/>
              </w:rPr>
              <w:t>□</w:t>
            </w:r>
            <w:r>
              <w:rPr>
                <w:rFonts w:hint="eastAsia" w:ascii="Times New Roman" w:hAnsi="Times New Roman" w:cs="Times New Roman"/>
              </w:rPr>
              <w:t>建筑施工</w:t>
            </w:r>
            <w:r>
              <w:rPr>
                <w:rFonts w:hint="eastAsia" w:ascii="Times New Roman" w:hAnsi="Times New Roman" w:cs="Times New Roman"/>
                <w:lang w:eastAsia="zh-CN"/>
              </w:rPr>
              <w:t>□</w:t>
            </w:r>
            <w:r>
              <w:rPr>
                <w:rFonts w:hint="eastAsia" w:ascii="Times New Roman" w:hAnsi="Times New Roman" w:cs="Times New Roman"/>
              </w:rPr>
              <w:t>污水处理站</w:t>
            </w:r>
            <w:r>
              <w:rPr>
                <w:rFonts w:hint="eastAsia" w:ascii="Times New Roman" w:hAnsi="Times New Roman" w:cs="Times New Roman"/>
                <w:lang w:eastAsia="zh-CN"/>
              </w:rPr>
              <w:t>□</w:t>
            </w:r>
            <w:r>
              <w:rPr>
                <w:rFonts w:hint="eastAsia" w:ascii="Times New Roman" w:hAnsi="Times New Roman" w:cs="Times New Roman"/>
              </w:rPr>
              <w:t>其他</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组织现有基础设施可满足环境管理体系运行；</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□组织现有基础设施可基本满足环境管理体系运行，但是还有不足需要补充：</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ascii="宋体" w:hAnsi="宋体"/>
                <w:color w:val="000000"/>
                <w:spacing w:val="-10"/>
                <w:sz w:val="21"/>
                <w:szCs w:val="21"/>
                <w:u w:val="single"/>
                <w:lang w:val="en-US" w:eastAsia="zh-CN"/>
              </w:rPr>
              <w:t>自动烟尘烟气测定仪</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52"/>
            </w:r>
            <w:r>
              <w:rPr>
                <w:rFonts w:hint="eastAsia"/>
              </w:rPr>
              <w:t>法律法规获取</w:t>
            </w:r>
            <w:r>
              <w:rPr>
                <w:rFonts w:hint="eastAsia"/>
                <w:lang w:val="en-US" w:eastAsia="zh-CN"/>
              </w:rPr>
              <w:t>未及时更新</w:t>
            </w:r>
            <w:r>
              <w:rPr>
                <w:rFonts w:hint="eastAsia"/>
              </w:rPr>
              <w:t>，</w:t>
            </w:r>
            <w:r>
              <w:rPr>
                <w:rFonts w:hint="eastAsia"/>
                <w:lang w:val="en-US" w:eastAsia="zh-CN"/>
              </w:rPr>
              <w:t>未更新的相关法律法规已开具不符合进行整改</w:t>
            </w:r>
            <w:r>
              <w:rPr>
                <w:rFonts w:hint="eastAsia"/>
              </w:rPr>
              <w:t>：</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ascii="Times New Roman" w:hAnsi="Times New Roman" w:cs="Times New Roman"/>
              </w:rPr>
            </w:pPr>
            <w:r>
              <w:rPr>
                <w:rFonts w:hint="eastAsia"/>
              </w:rPr>
              <w:t>审核期间内，设计和开发新产品/项目名称：</w:t>
            </w:r>
            <w:r>
              <w:rPr>
                <w:rFonts w:hint="eastAsia" w:ascii="Times New Roman" w:hAnsi="Times New Roman" w:cs="Times New Roman"/>
                <w:u w:val="single"/>
                <w:lang w:val="en-US" w:eastAsia="zh-CN"/>
              </w:rPr>
              <w:t>水质 甲基叔丁基醚操作规范作业指导书（第1版）</w:t>
            </w:r>
            <w:r>
              <w:rPr>
                <w:rFonts w:hint="eastAsia" w:ascii="Times New Roman" w:hAnsi="Times New Roman" w:cs="Times New Roman"/>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加强检查考核</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加强检查考核</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节约用水，排入市政管网处理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活性炭吸附设施的正常运行，加强检测</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固体废物合理处置，危废由第三方处置</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rFonts w:hint="default" w:eastAsia="宋体"/>
                <w:lang w:val="en-US" w:eastAsia="zh-CN"/>
              </w:rPr>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r>
              <w:rPr>
                <w:rFonts w:hint="eastAsia"/>
                <w:lang w:val="en-US" w:eastAsia="zh-CN"/>
              </w:rPr>
              <w:t>和2021年9月15日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eastAsia="宋体" w:cs="Times New Roman"/>
                <w:bCs w:val="0"/>
                <w:spacing w:val="0"/>
                <w:kern w:val="2"/>
                <w:sz w:val="24"/>
                <w:szCs w:val="24"/>
                <w:lang w:val="en-US" w:eastAsia="zh-CN" w:bidi="ar-SA"/>
              </w:rPr>
              <w:t>AKRC21386</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职业危害管理□消防控制</w:t>
            </w:r>
            <w:r>
              <w:rPr>
                <w:rFonts w:hint="eastAsia"/>
              </w:rPr>
              <w:sym w:font="Wingdings 2" w:char="0052"/>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cs="Times New Roman"/>
                <w:b/>
                <w:bCs/>
              </w:rPr>
            </w:pPr>
            <w:r>
              <w:rPr>
                <w:rFonts w:hint="eastAsia"/>
              </w:rPr>
              <w:t>最高管理者制定了文件化的职业健康安全管理体系方针：</w:t>
            </w:r>
            <w:r>
              <w:rPr>
                <w:rFonts w:hint="eastAsia" w:ascii="Times New Roman" w:hAnsi="Times New Roman" w:cs="Times New Roman"/>
                <w:b/>
                <w:bCs/>
              </w:rPr>
              <w:t>规范管理，安全第一；预防为主，持续改进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val="en-US" w:eastAsia="zh-CN"/>
              </w:rPr>
              <w:t>唐瑞乾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法律法规风险</w:t>
                  </w:r>
                </w:p>
              </w:tc>
              <w:tc>
                <w:tcPr>
                  <w:tcW w:w="3965"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及时识别和更新并进行合规性评价</w:t>
                  </w:r>
                </w:p>
              </w:tc>
              <w:tc>
                <w:tcPr>
                  <w:tcW w:w="1717"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采样过程风险造成人员受伤</w:t>
                  </w:r>
                </w:p>
              </w:tc>
              <w:tc>
                <w:tcPr>
                  <w:tcW w:w="3965"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培训采样人员，具备上岗资格</w:t>
                  </w:r>
                </w:p>
              </w:tc>
              <w:tc>
                <w:tcPr>
                  <w:tcW w:w="1717"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检验过程试剂或药品泄漏造成对人员伤害</w:t>
                  </w:r>
                </w:p>
              </w:tc>
              <w:tc>
                <w:tcPr>
                  <w:tcW w:w="3965"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及时检查发现问题迅速整改</w:t>
                  </w:r>
                </w:p>
              </w:tc>
              <w:tc>
                <w:tcPr>
                  <w:tcW w:w="1717" w:type="dxa"/>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化学伤害□噪声□粉尘</w:t>
            </w:r>
            <w:r>
              <w:rPr>
                <w:rFonts w:hint="eastAsia"/>
              </w:rPr>
              <w:sym w:font="Wingdings 2" w:char="0052"/>
            </w:r>
            <w:r>
              <w:rPr>
                <w:rFonts w:hint="eastAsia"/>
              </w:rPr>
              <w:t>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t>□职业病体检报告书日期：</w:t>
            </w:r>
            <w:r>
              <w:rPr>
                <w:rFonts w:hint="eastAsia"/>
                <w:lang w:val="en-US" w:eastAsia="zh-CN"/>
              </w:rPr>
              <w:t>2021.11.21</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lang w:val="en-US" w:eastAsia="zh-CN"/>
                    </w:rPr>
                    <w:t>杜绝重大伤亡事故</w:t>
                  </w:r>
                </w:p>
              </w:tc>
              <w:tc>
                <w:tcPr>
                  <w:tcW w:w="3136" w:type="dxa"/>
                  <w:shd w:val="clear" w:color="auto" w:fill="auto"/>
                  <w:vAlign w:val="center"/>
                </w:tcPr>
                <w:p>
                  <w:pPr>
                    <w:rPr>
                      <w:rFonts w:hint="default" w:eastAsia="宋体"/>
                      <w:lang w:val="en-US" w:eastAsia="zh-CN"/>
                    </w:rPr>
                  </w:pPr>
                  <w:r>
                    <w:rPr>
                      <w:rFonts w:hint="eastAsia"/>
                      <w:lang w:val="en-US" w:eastAsia="zh-CN"/>
                    </w:rPr>
                    <w:t>加强安全管理进行三级安全教育</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cs="Times New Roman"/>
              </w:rPr>
            </w:pPr>
            <w:r>
              <w:rPr>
                <w:rFonts w:hint="eastAsia" w:ascii="Times New Roman" w:hAnsi="Times New Roman" w:cs="Times New Roman"/>
              </w:rPr>
              <w:t>建筑面积</w:t>
            </w:r>
            <w:r>
              <w:rPr>
                <w:rFonts w:hint="eastAsia" w:ascii="Times New Roman" w:hAnsi="Times New Roman" w:cs="Times New Roman"/>
                <w:lang w:val="en-US" w:eastAsia="zh-CN"/>
              </w:rPr>
              <w:t>3600</w:t>
            </w:r>
            <w:r>
              <w:rPr>
                <w:rFonts w:hint="eastAsia" w:ascii="Times New Roman" w:hAnsi="Times New Roman" w:cs="Times New Roman"/>
              </w:rPr>
              <w:t>平方米；库房</w:t>
            </w:r>
            <w:r>
              <w:rPr>
                <w:rFonts w:hint="eastAsia" w:ascii="Times New Roman" w:hAnsi="Times New Roman" w:cs="Times New Roman"/>
                <w:lang w:val="en-US" w:eastAsia="zh-CN"/>
              </w:rPr>
              <w:t>3个</w:t>
            </w:r>
            <w:r>
              <w:rPr>
                <w:rFonts w:hint="eastAsia" w:ascii="Times New Roman" w:hAnsi="Times New Roman" w:cs="Times New Roman"/>
              </w:rPr>
              <w:t>；实验室</w:t>
            </w:r>
            <w:r>
              <w:rPr>
                <w:rFonts w:hint="eastAsia" w:ascii="Times New Roman" w:hAnsi="Times New Roman" w:cs="Times New Roman"/>
                <w:lang w:eastAsia="zh-CN"/>
              </w:rPr>
              <w:t>：</w:t>
            </w:r>
            <w:r>
              <w:rPr>
                <w:rFonts w:hint="eastAsia" w:ascii="Times New Roman" w:hAnsi="Times New Roman" w:cs="Times New Roman"/>
                <w:lang w:val="en-US" w:eastAsia="zh-CN"/>
              </w:rPr>
              <w:t xml:space="preserve">两层(1300m2） </w:t>
            </w:r>
            <w:r>
              <w:rPr>
                <w:rFonts w:hint="eastAsia" w:ascii="Times New Roman" w:hAnsi="Times New Roman" w:cs="Times New Roman"/>
              </w:rPr>
              <w:t>；</w:t>
            </w:r>
          </w:p>
          <w:p>
            <w:pPr>
              <w:rPr>
                <w:rFonts w:hint="eastAsia" w:ascii="Times New Roman" w:hAnsi="Times New Roman" w:cs="Times New Roman"/>
                <w:u w:val="single"/>
              </w:rPr>
            </w:pPr>
            <w:r>
              <w:rPr>
                <w:rFonts w:hint="eastAsia" w:ascii="Times New Roman" w:hAnsi="Times New Roman" w:cs="Times New Roman"/>
              </w:rPr>
              <w:t>主要生产设备有：</w:t>
            </w:r>
            <w:r>
              <w:rPr>
                <w:rFonts w:hint="eastAsia" w:ascii="Times New Roman" w:hAnsi="Times New Roman" w:cs="Times New Roman"/>
                <w:u w:val="single"/>
                <w:lang w:val="en-US" w:eastAsia="zh-CN"/>
              </w:rPr>
              <w:t>紫外可见分光光度计、生化培养箱、二十四小时恒温自动连续采样</w:t>
            </w:r>
            <w:r>
              <w:rPr>
                <w:rFonts w:hint="eastAsia" w:ascii="Times New Roman" w:hAnsi="Times New Roman" w:cs="Times New Roman"/>
                <w:u w:val="single"/>
              </w:rPr>
              <w:t>建筑面积</w:t>
            </w:r>
          </w:p>
          <w:p>
            <w:pPr>
              <w:rPr>
                <w:rFonts w:hint="eastAsia" w:ascii="Times New Roman" w:hAnsi="Times New Roman" w:cs="Times New Roman"/>
              </w:rPr>
            </w:pPr>
            <w:r>
              <w:rPr>
                <w:rFonts w:hint="eastAsia" w:ascii="Times New Roman" w:hAnsi="Times New Roman" w:cs="Times New Roman"/>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sym w:font="Wingdings 2" w:char="0052"/>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pPr>
              <w:rPr>
                <w:rFonts w:hint="eastAsia" w:eastAsia="宋体"/>
                <w:lang w:val="en-US" w:eastAsia="zh-CN"/>
              </w:rPr>
            </w:pPr>
            <w:r>
              <w:rPr>
                <w:rFonts w:hint="eastAsia"/>
              </w:rPr>
              <w:t>实施了员工三级安全教育：</w:t>
            </w:r>
            <w:r>
              <w:rPr>
                <w:rFonts w:hint="eastAsia" w:ascii="Wingdings" w:hAnsi="Wingdings"/>
                <w:lang w:eastAsia="zh-CN"/>
              </w:rPr>
              <w:sym w:font="Wingdings 2" w:char="0052"/>
            </w:r>
            <w:r>
              <w:rPr>
                <w:rFonts w:hint="eastAsia"/>
                <w:lang w:val="en-US" w:eastAsia="zh-CN"/>
              </w:rPr>
              <w:t>企业</w:t>
            </w:r>
            <w:r>
              <w:rPr>
                <w:rFonts w:hint="eastAsia" w:ascii="Wingdings" w:hAnsi="Wingdings"/>
                <w:lang w:eastAsia="zh-CN"/>
              </w:rPr>
              <w:sym w:font="Wingdings 2" w:char="0052"/>
            </w:r>
            <w:r>
              <w:rPr>
                <w:rFonts w:hint="eastAsia"/>
                <w:lang w:val="en-US" w:eastAsia="zh-CN"/>
              </w:rPr>
              <w:t>部门</w:t>
            </w:r>
            <w:r>
              <w:rPr>
                <w:rFonts w:hint="eastAsia" w:ascii="Wingdings" w:hAnsi="Wingdings"/>
                <w:lang w:eastAsia="zh-CN"/>
              </w:rPr>
              <w:sym w:font="Wingdings 2" w:char="0052"/>
            </w:r>
            <w:r>
              <w:rPr>
                <w:rFonts w:hint="eastAsia"/>
                <w:lang w:val="en-US" w:eastAsia="zh-CN"/>
              </w:rPr>
              <w:t>岗位</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eastAsia" w:ascii="Wingdings" w:hAnsi="Wingdings" w:cs="Times New Roman"/>
                <w:lang w:eastAsia="zh-CN"/>
              </w:rPr>
            </w:pPr>
            <w:r>
              <w:rPr>
                <w:rFonts w:hint="eastAsia" w:ascii="Wingdings" w:hAnsi="Wingdings" w:cs="Times New Roman"/>
                <w:lang w:eastAsia="zh-CN"/>
              </w:rPr>
              <w:t>□法律法规获取充分，</w:t>
            </w:r>
            <w:r>
              <w:rPr>
                <w:rFonts w:hint="eastAsia" w:ascii="Wingdings" w:hAnsi="Wingdings" w:cs="Times New Roman"/>
                <w:lang w:eastAsia="zh-CN"/>
              </w:rPr>
              <w:sym w:font="Wingdings 2" w:char="0052"/>
            </w:r>
            <w:r>
              <w:rPr>
                <w:rFonts w:hint="eastAsia" w:ascii="Wingdings" w:hAnsi="Wingdings" w:cs="Times New Roman"/>
                <w:lang w:eastAsia="zh-CN"/>
              </w:rPr>
              <w:t>法律法规获取获取</w:t>
            </w:r>
            <w:r>
              <w:rPr>
                <w:rFonts w:hint="eastAsia" w:ascii="Wingdings" w:hAnsi="Wingdings" w:cs="Times New Roman"/>
                <w:lang w:val="en-US" w:eastAsia="zh-CN"/>
              </w:rPr>
              <w:t>未及时更新</w:t>
            </w:r>
            <w:r>
              <w:rPr>
                <w:rFonts w:hint="eastAsia" w:ascii="Wingdings" w:hAnsi="Wingdings" w:cs="Times New Roman"/>
                <w:lang w:eastAsia="zh-CN"/>
              </w:rPr>
              <w:t>，</w:t>
            </w:r>
            <w:r>
              <w:rPr>
                <w:rFonts w:hint="eastAsia" w:ascii="Wingdings" w:hAnsi="Wingdings" w:cs="Times New Roman"/>
                <w:lang w:val="en-US" w:eastAsia="zh-CN"/>
              </w:rPr>
              <w:t>未更新的相关法律法规已开具不符合进行整改</w:t>
            </w:r>
            <w:r>
              <w:rPr>
                <w:rFonts w:hint="eastAsia" w:ascii="Wingdings" w:hAnsi="Wingdings" w:cs="Times New Roman"/>
                <w:lang w:eastAsia="zh-CN"/>
              </w:rPr>
              <w:t>：</w:t>
            </w:r>
          </w:p>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w:t>
                  </w:r>
                  <w:r>
                    <w:rPr>
                      <w:rFonts w:hint="eastAsia"/>
                    </w:rPr>
                    <w:sym w:font="Wingdings 2" w:char="00A3"/>
                  </w:r>
                  <w:r>
                    <w:rPr>
                      <w:rFonts w:hint="eastAsia"/>
                    </w:rPr>
                    <w:t>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内部编号YQ-20</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r>
              <w:rPr>
                <w:rFonts w:hint="eastAsia"/>
                <w:lang w:val="en-US" w:eastAsia="zh-CN"/>
              </w:rPr>
              <w:t>和2021年9月15日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6000123735</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852613"/>
    <w:rsid w:val="19815185"/>
    <w:rsid w:val="5BC61557"/>
    <w:rsid w:val="5DCF4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2022-05-08T06:53:28Z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