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华夏运维科技（北京）有限公司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北京市房山区长阳万兴路86号-A3114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北京市海淀区丰慧中路7号新材料大厦B座206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李长江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13801093909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13801093909@139.com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武江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13801093909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0016-2021-Q-2022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计算机系统集成及技术服务；计算机软硬件及辅助设备的销售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29.09.01;33.02.02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2022年03月29日 上午至2022年03月29日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29.09.01,33.02.02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2022.3.28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2022.3.29</w:t>
            </w:r>
          </w:p>
        </w:tc>
        <w:tc>
          <w:tcPr>
            <w:tcW w:w="1213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8：15-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8:30</w:t>
            </w:r>
          </w:p>
        </w:tc>
        <w:tc>
          <w:tcPr>
            <w:tcW w:w="1370" w:type="dxa"/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各部门</w:t>
            </w:r>
          </w:p>
        </w:tc>
        <w:tc>
          <w:tcPr>
            <w:tcW w:w="3038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首次会议 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上次问题整改情况的确认；质量事故事件及处理情况，质量监测情况、使用情况、证书适用情况等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Q:4.1-4.4/5.1.1/5.1.2/5.2.1/5.3/6.1/6.2/6.3/7.1.1/7.4/9.1.1/9.3/10.1/10.3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综合部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部门职责和权限；目标实现情况；人员聘用，组织知识、培训，能力、意识的培养；企业知识管理的方法、措施及效果；沟通方式和内容，形成文件的信息；外部供方控制、内部审核实施及有效性； 总则、分析与评价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Q:5.3/6.2/7.1.2/7.1.6/9.1.2/9.2/8.7/10.2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12：15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午餐时间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12:15-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14:00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销售部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部门职责和权限；目标实现情况；</w:t>
            </w: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采购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销售策划、与客户有关的过程、顾客财产管理、交付后活动；顾客满意度调查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Q:55.3/6.2/8.1/8.2/8.4/8.5/8.6</w:t>
            </w: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/9.1.2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14:00-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16:0</w:t>
            </w: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5</w:t>
            </w:r>
            <w:bookmarkStart w:id="33" w:name="_GoBack"/>
            <w:bookmarkEnd w:id="33"/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工程部（含临时场所）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含5分钟临时场所路程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职责和权限；分解到本部门目标实现情况；基础设施配置与管理；过程运行环境管理；监视和测量设备、和控制生产和服务提供、标识和可追溯性管理；运行策划、产品和服务的放行；不合格输出的控制和纠正措施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Q:5.3/6.2/7.1.4/7.1.5/8.1/8.3/8.5/8.6/8.7/10.2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16:0</w:t>
            </w: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16:3</w:t>
            </w: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全体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末次会议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6B20B0"/>
    <w:rsid w:val="6867614B"/>
    <w:rsid w:val="7F3375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1579</Words>
  <Characters>2330</Characters>
  <Lines>37</Lines>
  <Paragraphs>10</Paragraphs>
  <TotalTime>13</TotalTime>
  <ScaleCrop>false</ScaleCrop>
  <LinksUpToDate>false</LinksUpToDate>
  <CharactersWithSpaces>2401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2022-03-29T08:09:37Z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