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13755" cy="8805545"/>
            <wp:effectExtent l="0" t="0" r="4445" b="8255"/>
            <wp:docPr id="1" name="图片 1" descr="新文档 2022-04-13 10.57.2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13 10.57.24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880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230"/>
        <w:gridCol w:w="541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河北伟源水利机械有限公司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河北省邢台市新河县西郑家庄村西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河北省邢台市新河县西郑家庄村西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1210-2021-QEO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孙贺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13930955800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756024731@qq.com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张世伟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审核范围"/>
            <w:r>
              <w:rPr>
                <w:sz w:val="21"/>
                <w:szCs w:val="21"/>
              </w:rPr>
              <w:t>Q：启闭机、闸门、拦污栅、清污机的生产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E：启闭机、闸门、拦污栅、清污机的生产所涉及场所的相关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sz w:val="21"/>
                <w:szCs w:val="21"/>
              </w:rPr>
              <w:t>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O：启闭机、闸门、拦污栅、清污机的生产所涉及场所的相关职业健康安全管理活动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Q：17.12.03;18.05.07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E：17.12.03;18.05.07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O：17.12.03;18.05.07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 上午至2022年04月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98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98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98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98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8：30-10：30</w:t>
            </w:r>
            <w:bookmarkStart w:id="29" w:name="_GoBack"/>
            <w:bookmarkEnd w:id="29"/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A14E44"/>
    <w:rsid w:val="2C124E03"/>
    <w:rsid w:val="3E1059B4"/>
    <w:rsid w:val="6CFA6066"/>
    <w:rsid w:val="79DD5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2022-04-14T06:35:17Z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