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7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巨鹿县元生胶带有限公司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巨鹿县官亭镇鱼营村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巨鹿县官亭镇鱼营村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0247-2022-Q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18233135061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563430467@qq.com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橡胶输送带、金属托辊、金属滚筒的销售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YSJD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-SC-202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2022年03月20日 上午至2022年03月20日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周文廷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sz w:val="32"/>
          <w:szCs w:val="32"/>
        </w:rPr>
      </w:pPr>
      <w:r>
        <w:drawing>
          <wp:inline distT="0" distB="0" distL="114300" distR="114300">
            <wp:extent cx="5820410" cy="80784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078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4" w:name="_GoBack"/>
      <w:bookmarkEnd w:id="2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3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2022-3-20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386BF4"/>
    <w:rsid w:val="73C26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2022-03-21T07:30:07Z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