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无锡康宇水处理设备有限公司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查综合管理部、人事行政部、财务部的能源目标指标，未能提供较明晰的目标指标的分解与考核。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En/6.2    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查综合管理部提供的编号为：JL/JDB/021《法律、法规及其它要求适用性识别单》和《法律法规及其他要求合规性评价报告》，未能将标准GB∕T 36713-2018《 能源管理体系 能源基准和能源绩效参数》“工业和信息化部发布《高耗能落后机电设备（产品）淘汰目录（第四批）》”和能源的江苏无锡地方法规进行识别、收集。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En/4.2</w:t>
            </w:r>
          </w:p>
          <w:p>
            <w:pPr>
              <w:pStyle w:val="2"/>
              <w:ind w:firstLine="422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63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2022-04-23T08:59:43Z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2052-11.1.0.11411</vt:lpwstr>
  </property>
</Properties>
</file>