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_GoBack"/>
      <w:bookmarkEnd w:id="0"/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pStyle w:val="12"/>
              <w:spacing w:line="84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  <w:t>无锡康宇水处理设备有限公司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王宁敏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45085</wp:posOffset>
                  </wp:positionV>
                  <wp:extent cx="5185410" cy="2418715"/>
                  <wp:effectExtent l="0" t="0" r="8890" b="698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5410" cy="2418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主要能源使用：电力；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主要能源参数：kgce/万元；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3"/>
              <w:spacing w:before="181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ascii="Times New Roman" w:hAnsi="宋体" w:eastAsia="Times New Roman" w:cs="宋体"/>
              </w:rPr>
              <w:t>《中华人民共和国电力法》</w:t>
            </w:r>
            <w:r>
              <w:rPr>
                <w:rFonts w:hint="eastAsia" w:ascii="Times New Roman" w:hAnsi="宋体" w:cs="宋体"/>
                <w:lang w:eastAsia="zh-CN"/>
              </w:rPr>
              <w:t>、</w:t>
            </w:r>
            <w:r>
              <w:rPr>
                <w:rFonts w:ascii="Times New Roman" w:hAnsi="宋体" w:eastAsia="Times New Roman" w:cs="宋体"/>
              </w:rPr>
              <w:t>《中华人民共和国节约能源法》</w:t>
            </w:r>
            <w:r>
              <w:rPr>
                <w:rFonts w:hint="eastAsia" w:ascii="Times New Roman" w:hAnsi="宋体" w:cs="宋体"/>
                <w:lang w:eastAsia="zh-CN"/>
              </w:rPr>
              <w:t>、</w:t>
            </w:r>
            <w:r>
              <w:rPr>
                <w:rFonts w:ascii="Times New Roman" w:hAnsi="宋体" w:eastAsia="Times New Roman" w:cs="宋体"/>
              </w:rPr>
              <w:t>《中华人民共和国清洁生产法》</w:t>
            </w:r>
            <w:r>
              <w:rPr>
                <w:rFonts w:hint="eastAsia" w:ascii="Times New Roman" w:hAnsi="宋体" w:cs="宋体"/>
                <w:lang w:eastAsia="zh-CN"/>
              </w:rPr>
              <w:t>、</w:t>
            </w:r>
            <w:r>
              <w:rPr>
                <w:rFonts w:ascii="Times New Roman" w:hAnsi="宋体" w:eastAsia="Times New Roman" w:cs="宋体"/>
              </w:rPr>
              <w:t>《中华人民共和国可再生能源法》</w:t>
            </w:r>
            <w:r>
              <w:rPr>
                <w:rFonts w:hint="eastAsia" w:ascii="Times New Roman" w:hAnsi="宋体" w:cs="宋体"/>
                <w:lang w:eastAsia="zh-CN"/>
              </w:rPr>
              <w:t>、</w:t>
            </w:r>
            <w:r>
              <w:rPr>
                <w:rFonts w:ascii="Times New Roman" w:hAnsi="宋体" w:eastAsia="Times New Roman" w:cs="宋体"/>
              </w:rPr>
              <w:t>《国家重点节能技术推广目录（1-6 批）》</w:t>
            </w:r>
            <w:r>
              <w:rPr>
                <w:rFonts w:hint="eastAsia" w:ascii="Times New Roman" w:hAnsi="宋体" w:cs="宋体"/>
                <w:lang w:eastAsia="zh-CN"/>
              </w:rPr>
              <w:t>、</w:t>
            </w:r>
            <w:r>
              <w:rPr>
                <w:rFonts w:ascii="Times New Roman" w:hAnsi="宋体" w:eastAsia="Times New Roman" w:cs="宋体"/>
              </w:rPr>
              <w:t>《企业节能量计算方法</w:t>
            </w:r>
            <w:r>
              <w:rPr>
                <w:rFonts w:hint="eastAsia" w:ascii="Times New Roman" w:hAnsi="宋体" w:eastAsia="Times New Roman" w:cs="宋体"/>
                <w:lang w:val="en-US" w:eastAsia="zh-CN"/>
              </w:rPr>
              <w:t xml:space="preserve"> </w:t>
            </w:r>
            <w:r>
              <w:rPr>
                <w:rFonts w:hint="eastAsia" w:ascii="Times New Roman" w:hAnsi="宋体" w:eastAsia="Times New Roman" w:cs="宋体"/>
              </w:rPr>
              <w:fldChar w:fldCharType="begin"/>
            </w:r>
            <w:r>
              <w:rPr>
                <w:rFonts w:hint="eastAsia" w:ascii="Times New Roman" w:hAnsi="宋体" w:eastAsia="Times New Roman" w:cs="宋体"/>
              </w:rPr>
              <w:instrText xml:space="preserve"> HYPERLINK "http://www.csres.com/detail/204647.html" \h </w:instrText>
            </w:r>
            <w:r>
              <w:rPr>
                <w:rFonts w:hint="eastAsia" w:ascii="Times New Roman" w:hAnsi="宋体" w:eastAsia="Times New Roman" w:cs="宋体"/>
              </w:rPr>
              <w:fldChar w:fldCharType="separate"/>
            </w:r>
            <w:r>
              <w:rPr>
                <w:rFonts w:hint="eastAsia" w:ascii="Times New Roman" w:hAnsi="宋体" w:eastAsia="Times New Roman" w:cs="宋体"/>
              </w:rPr>
              <w:t>GB/T 13234-201</w:t>
            </w:r>
            <w:r>
              <w:rPr>
                <w:rFonts w:hint="eastAsia" w:ascii="Times New Roman" w:hAnsi="宋体" w:eastAsia="Times New Roman" w:cs="宋体"/>
              </w:rPr>
              <w:fldChar w:fldCharType="end"/>
            </w:r>
            <w:r>
              <w:rPr>
                <w:rFonts w:hint="eastAsia" w:ascii="Times New Roman" w:hAnsi="宋体" w:eastAsia="Times New Roman" w:cs="宋体"/>
              </w:rPr>
              <w:t>8</w:t>
            </w:r>
            <w:r>
              <w:rPr>
                <w:rFonts w:ascii="Times New Roman" w:hAnsi="宋体" w:eastAsia="Times New Roman" w:cs="宋体"/>
              </w:rPr>
              <w:t>》</w:t>
            </w:r>
            <w:r>
              <w:rPr>
                <w:rFonts w:hint="eastAsia" w:ascii="Times New Roman" w:hAnsi="宋体" w:cs="宋体"/>
                <w:lang w:eastAsia="zh-CN"/>
              </w:rPr>
              <w:t>、</w:t>
            </w:r>
            <w:r>
              <w:rPr>
                <w:rFonts w:ascii="Times New Roman" w:hAnsi="宋体" w:eastAsia="Times New Roman" w:cs="宋体"/>
              </w:rPr>
              <w:t>《企业能量平衡统计方法</w:t>
            </w:r>
            <w:r>
              <w:rPr>
                <w:rFonts w:ascii="Times New Roman" w:hAnsi="宋体" w:eastAsia="Times New Roman" w:cs="宋体"/>
              </w:rPr>
              <w:fldChar w:fldCharType="begin"/>
            </w:r>
            <w:r>
              <w:rPr>
                <w:rFonts w:ascii="Times New Roman" w:hAnsi="宋体" w:eastAsia="Times New Roman" w:cs="宋体"/>
              </w:rPr>
              <w:instrText xml:space="preserve"> HYPERLINK "http://www.csres.com/detail/56381.html" \h </w:instrText>
            </w:r>
            <w:r>
              <w:rPr>
                <w:rFonts w:ascii="Times New Roman" w:hAnsi="宋体" w:eastAsia="Times New Roman" w:cs="宋体"/>
              </w:rPr>
              <w:fldChar w:fldCharType="separate"/>
            </w:r>
            <w:r>
              <w:rPr>
                <w:rFonts w:ascii="Times New Roman" w:hAnsi="宋体" w:eastAsia="Times New Roman" w:cs="宋体"/>
              </w:rPr>
              <w:t>GB/T 16614-1996</w:t>
            </w:r>
            <w:r>
              <w:rPr>
                <w:rFonts w:ascii="Times New Roman" w:hAnsi="宋体" w:eastAsia="Times New Roman" w:cs="宋体"/>
              </w:rPr>
              <w:fldChar w:fldCharType="end"/>
            </w:r>
            <w:r>
              <w:rPr>
                <w:rFonts w:ascii="Times New Roman" w:hAnsi="宋体" w:eastAsia="Times New Roman" w:cs="宋体"/>
              </w:rPr>
              <w:t>》</w:t>
            </w:r>
            <w:r>
              <w:rPr>
                <w:rFonts w:hint="eastAsia" w:ascii="Times New Roman" w:hAnsi="宋体" w:cs="宋体"/>
                <w:lang w:eastAsia="zh-CN"/>
              </w:rPr>
              <w:t>、</w:t>
            </w:r>
            <w:r>
              <w:rPr>
                <w:rFonts w:ascii="Times New Roman" w:hAnsi="宋体" w:eastAsia="Times New Roman" w:cs="宋体"/>
              </w:rPr>
              <w:t xml:space="preserve">《企业能量平衡表编制方法 </w:t>
            </w:r>
            <w:r>
              <w:rPr>
                <w:rFonts w:ascii="Times New Roman" w:hAnsi="宋体" w:eastAsia="Times New Roman" w:cs="宋体"/>
              </w:rPr>
              <w:fldChar w:fldCharType="begin"/>
            </w:r>
            <w:r>
              <w:rPr>
                <w:rFonts w:ascii="Times New Roman" w:hAnsi="宋体" w:eastAsia="Times New Roman" w:cs="宋体"/>
              </w:rPr>
              <w:instrText xml:space="preserve"> HYPERLINK "http://www.csres.com/detail/227580.html" \h </w:instrText>
            </w:r>
            <w:r>
              <w:rPr>
                <w:rFonts w:ascii="Times New Roman" w:hAnsi="宋体" w:eastAsia="Times New Roman" w:cs="宋体"/>
              </w:rPr>
              <w:fldChar w:fldCharType="separate"/>
            </w:r>
            <w:r>
              <w:rPr>
                <w:rFonts w:ascii="Times New Roman" w:hAnsi="宋体" w:eastAsia="Times New Roman" w:cs="宋体"/>
              </w:rPr>
              <w:t>GB/T 28751-2012</w:t>
            </w:r>
            <w:r>
              <w:rPr>
                <w:rFonts w:ascii="Times New Roman" w:hAnsi="宋体" w:eastAsia="Times New Roman" w:cs="宋体"/>
              </w:rPr>
              <w:fldChar w:fldCharType="end"/>
            </w:r>
            <w:r>
              <w:rPr>
                <w:rFonts w:ascii="Times New Roman" w:hAnsi="宋体" w:eastAsia="Times New Roman" w:cs="宋体"/>
              </w:rPr>
              <w:t>》</w:t>
            </w:r>
            <w:r>
              <w:rPr>
                <w:rFonts w:hint="eastAsia" w:ascii="Times New Roman" w:hAnsi="宋体" w:cs="宋体"/>
                <w:lang w:eastAsia="zh-CN"/>
              </w:rPr>
              <w:t>、</w:t>
            </w:r>
            <w:r>
              <w:rPr>
                <w:rFonts w:ascii="Times New Roman" w:hAnsi="宋体" w:eastAsia="Times New Roman" w:cs="宋体"/>
              </w:rPr>
              <w:t>企业能源平衡通则（GB3484-2009）</w:t>
            </w:r>
            <w:r>
              <w:rPr>
                <w:rFonts w:hint="eastAsia" w:ascii="Times New Roman" w:hAnsi="宋体" w:cs="宋体"/>
                <w:lang w:eastAsia="zh-CN"/>
              </w:rPr>
              <w:t>、</w:t>
            </w:r>
            <w:r>
              <w:rPr>
                <w:rFonts w:ascii="Times New Roman" w:hAnsi="宋体" w:eastAsia="Times New Roman" w:cs="宋体"/>
              </w:rPr>
              <w:t>节能监测技术通则（GB/T15316-2009）</w:t>
            </w:r>
            <w:r>
              <w:rPr>
                <w:rFonts w:hint="eastAsia" w:ascii="Times New Roman" w:hAnsi="宋体" w:cs="宋体"/>
                <w:lang w:eastAsia="zh-CN"/>
              </w:rPr>
              <w:t>、</w:t>
            </w:r>
            <w:r>
              <w:rPr>
                <w:rFonts w:ascii="Times New Roman" w:hAnsi="宋体" w:eastAsia="Times New Roman" w:cs="宋体"/>
              </w:rPr>
              <w:t>用能单位能源计量器具配备与管理通则（GB/T17167-2006）</w:t>
            </w:r>
            <w:r>
              <w:rPr>
                <w:rFonts w:hint="eastAsia" w:ascii="Times New Roman" w:hAnsi="宋体" w:cs="宋体"/>
                <w:lang w:eastAsia="zh-CN"/>
              </w:rPr>
              <w:t>、</w:t>
            </w:r>
            <w:r>
              <w:rPr>
                <w:rFonts w:hint="eastAsia" w:ascii="Times New Roman" w:hAnsi="宋体" w:eastAsia="Times New Roman" w:cs="宋体"/>
              </w:rPr>
              <w:t>综合能耗计算通则GBT2589-2020</w:t>
            </w:r>
            <w:r>
              <w:rPr>
                <w:rFonts w:hint="eastAsia" w:ascii="Times New Roman" w:hAnsi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486410</wp:posOffset>
                  </wp:positionH>
                  <wp:positionV relativeFrom="paragraph">
                    <wp:posOffset>144145</wp:posOffset>
                  </wp:positionV>
                  <wp:extent cx="640715" cy="348615"/>
                  <wp:effectExtent l="0" t="0" r="6985" b="6985"/>
                  <wp:wrapSquare wrapText="bothSides"/>
                  <wp:docPr id="3" name="图片 2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500380</wp:posOffset>
                  </wp:positionH>
                  <wp:positionV relativeFrom="paragraph">
                    <wp:posOffset>71120</wp:posOffset>
                  </wp:positionV>
                  <wp:extent cx="640715" cy="348615"/>
                  <wp:effectExtent l="0" t="0" r="6985" b="6985"/>
                  <wp:wrapSquare wrapText="bothSides"/>
                  <wp:docPr id="4" name="图片 3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 xml:space="preserve"> ISC-B-I-0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42C55F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tyle1"/>
    <w:qFormat/>
    <w:uiPriority w:val="0"/>
    <w:pPr>
      <w:spacing w:after="120"/>
      <w:jc w:val="both"/>
    </w:pPr>
    <w:rPr>
      <w:rFonts w:ascii="Times New Roman" w:hAnsi="Times New Roman" w:eastAsia="Times New Roman" w:cs="Times New Roman"/>
      <w:color w:val="000000"/>
      <w:spacing w:val="-3"/>
      <w:sz w:val="24"/>
      <w:szCs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正文1"/>
    <w:basedOn w:val="1"/>
    <w:qFormat/>
    <w:uiPriority w:val="0"/>
    <w:pPr>
      <w:widowControl/>
      <w:overflowPunct w:val="0"/>
      <w:autoSpaceDE w:val="0"/>
      <w:autoSpaceDN w:val="0"/>
      <w:adjustRightInd w:val="0"/>
      <w:textAlignment w:val="baseline"/>
    </w:pPr>
    <w:rPr>
      <w:rFonts w:ascii="宋体"/>
      <w:kern w:val="0"/>
      <w:szCs w:val="20"/>
    </w:rPr>
  </w:style>
  <w:style w:type="paragraph" w:customStyle="1" w:styleId="13">
    <w:name w:val="Table Paragraph"/>
    <w:basedOn w:val="1"/>
    <w:qFormat/>
    <w:uiPriority w:val="1"/>
    <w:pPr>
      <w:spacing w:before="72"/>
      <w:ind w:left="107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开门大吉～ISO认证服务</cp:lastModifiedBy>
  <dcterms:modified xsi:type="dcterms:W3CDTF">2022-04-23T12:14:31Z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2052-11.1.0.11411</vt:lpwstr>
  </property>
</Properties>
</file>