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宝鸡天健工贸有限公司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陕西省宝鸡市陈仓区阳平宏达工业园</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721303</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陕西省宝鸡市陈仓区阳平宏达工业园</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721303</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910103045671245570</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13992700909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马海岐</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马海岐</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43</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重型汽车变速箱壳体、离合器壳体的加工（冶炼、铸造除外）及销售。</w:t>
      </w:r>
      <w:bookmarkEnd w:id="14"/>
      <w:bookmarkStart w:id="15" w:name="_GoBack"/>
      <w:bookmarkStart w:id="16" w:name="审核范围英"/>
      <w:r>
        <w:rPr>
          <w:rFonts w:hint="eastAsia"/>
          <w:b/>
          <w:color w:val="000000" w:themeColor="text1"/>
          <w:sz w:val="22"/>
          <w:szCs w:val="22"/>
        </w:rPr>
        <w:t>重型汽车变速箱壳体、离合器壳体的加工（冶炼、铸造除外）及销售。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