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714"/>
        <w:gridCol w:w="1090"/>
        <w:gridCol w:w="1952"/>
        <w:gridCol w:w="294"/>
        <w:gridCol w:w="680"/>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6"/>
            <w:vAlign w:val="center"/>
          </w:tcPr>
          <w:p>
            <w:pPr>
              <w:rPr>
                <w:sz w:val="21"/>
                <w:szCs w:val="21"/>
              </w:rPr>
            </w:pPr>
            <w:bookmarkStart w:id="0" w:name="组织名称"/>
            <w:r>
              <w:rPr>
                <w:sz w:val="21"/>
                <w:szCs w:val="21"/>
              </w:rPr>
              <w:t>福建森野科技有限公司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6"/>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福建省泉州市南安市东田镇宏茂科技园</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6"/>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福建省泉州市南安市东田镇宏茂科技园</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vAlign w:val="center"/>
          </w:tcPr>
          <w:p>
            <w:pPr>
              <w:rPr>
                <w:sz w:val="21"/>
                <w:szCs w:val="21"/>
              </w:rPr>
            </w:pPr>
            <w:bookmarkStart w:id="3" w:name="联系人"/>
            <w:r>
              <w:rPr>
                <w:sz w:val="21"/>
                <w:szCs w:val="21"/>
              </w:rPr>
              <w:t>何清鑫</w:t>
            </w:r>
            <w:bookmarkEnd w:id="3"/>
          </w:p>
        </w:tc>
        <w:tc>
          <w:tcPr>
            <w:tcW w:w="1090" w:type="dxa"/>
            <w:vAlign w:val="center"/>
          </w:tcPr>
          <w:p>
            <w:pPr>
              <w:rPr>
                <w:sz w:val="21"/>
                <w:szCs w:val="21"/>
              </w:rPr>
            </w:pPr>
            <w:r>
              <w:rPr>
                <w:rFonts w:hint="eastAsia"/>
                <w:sz w:val="21"/>
                <w:szCs w:val="21"/>
              </w:rPr>
              <w:t>联系电话</w:t>
            </w:r>
          </w:p>
        </w:tc>
        <w:tc>
          <w:tcPr>
            <w:tcW w:w="1952" w:type="dxa"/>
            <w:vAlign w:val="center"/>
          </w:tcPr>
          <w:p>
            <w:pPr>
              <w:rPr>
                <w:sz w:val="21"/>
                <w:szCs w:val="21"/>
              </w:rPr>
            </w:pPr>
            <w:bookmarkStart w:id="4" w:name="联系人手机"/>
            <w:r>
              <w:rPr>
                <w:sz w:val="21"/>
                <w:szCs w:val="21"/>
              </w:rPr>
              <w:t>13559639789</w:t>
            </w:r>
            <w:bookmarkEnd w:id="4"/>
          </w:p>
        </w:tc>
        <w:tc>
          <w:tcPr>
            <w:tcW w:w="974" w:type="dxa"/>
            <w:gridSpan w:val="2"/>
            <w:vAlign w:val="center"/>
          </w:tcPr>
          <w:p>
            <w:pPr>
              <w:rPr>
                <w:sz w:val="20"/>
              </w:rPr>
            </w:pPr>
            <w:r>
              <w:rPr>
                <w:rFonts w:hint="eastAsia"/>
                <w:sz w:val="20"/>
              </w:rPr>
              <w:t>邮编</w:t>
            </w:r>
          </w:p>
        </w:tc>
        <w:tc>
          <w:tcPr>
            <w:tcW w:w="1449" w:type="dxa"/>
            <w:vAlign w:val="center"/>
          </w:tcPr>
          <w:p>
            <w:pPr>
              <w:rPr>
                <w:sz w:val="21"/>
                <w:szCs w:val="21"/>
              </w:rPr>
            </w:pPr>
            <w:bookmarkStart w:id="5" w:name="联系人邮箱"/>
            <w:r>
              <w:rPr>
                <w:sz w:val="21"/>
                <w:szCs w:val="21"/>
              </w:rPr>
              <w:t>1</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vAlign w:val="center"/>
          </w:tcPr>
          <w:p>
            <w:bookmarkStart w:id="6" w:name="最高管理者"/>
            <w:bookmarkEnd w:id="6"/>
            <w:r>
              <w:rPr>
                <w:sz w:val="21"/>
                <w:szCs w:val="21"/>
              </w:rPr>
              <w:t>何清鑫</w:t>
            </w:r>
          </w:p>
        </w:tc>
        <w:tc>
          <w:tcPr>
            <w:tcW w:w="1090" w:type="dxa"/>
            <w:vAlign w:val="center"/>
          </w:tcPr>
          <w:p>
            <w:pPr>
              <w:rPr>
                <w:sz w:val="21"/>
                <w:szCs w:val="21"/>
              </w:rPr>
            </w:pPr>
            <w:r>
              <w:rPr>
                <w:rFonts w:hint="eastAsia"/>
                <w:sz w:val="21"/>
                <w:szCs w:val="21"/>
              </w:rPr>
              <w:t>联系电话</w:t>
            </w:r>
          </w:p>
        </w:tc>
        <w:tc>
          <w:tcPr>
            <w:tcW w:w="1952" w:type="dxa"/>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vAlign w:val="center"/>
          </w:tcPr>
          <w:p>
            <w:pPr>
              <w:rPr>
                <w:sz w:val="20"/>
              </w:rPr>
            </w:pPr>
            <w:bookmarkStart w:id="8" w:name="合同编号"/>
            <w:r>
              <w:rPr>
                <w:sz w:val="20"/>
              </w:rPr>
              <w:t>0070-2020-EO-2022</w:t>
            </w:r>
            <w:bookmarkEnd w:id="8"/>
          </w:p>
        </w:tc>
        <w:tc>
          <w:tcPr>
            <w:tcW w:w="1090" w:type="dxa"/>
            <w:vAlign w:val="center"/>
          </w:tcPr>
          <w:p>
            <w:pPr>
              <w:rPr>
                <w:sz w:val="20"/>
              </w:rPr>
            </w:pPr>
            <w:r>
              <w:rPr>
                <w:rFonts w:hint="eastAsia"/>
                <w:b/>
                <w:sz w:val="20"/>
              </w:rPr>
              <w:t>审核领域</w:t>
            </w:r>
          </w:p>
        </w:tc>
        <w:tc>
          <w:tcPr>
            <w:tcW w:w="4375" w:type="dxa"/>
            <w:gridSpan w:val="4"/>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6"/>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6"/>
            <w:vAlign w:val="bottom"/>
          </w:tcPr>
          <w:p>
            <w:pPr>
              <w:rPr>
                <w:rFonts w:ascii="宋体" w:hAnsi="宋体"/>
                <w:b/>
                <w:bCs/>
                <w:sz w:val="20"/>
              </w:rPr>
            </w:pPr>
            <w:r>
              <w:rPr>
                <w:rFonts w:hint="eastAsia" w:ascii="宋体" w:hAnsi="宋体"/>
                <w:b/>
                <w:bCs/>
                <w:sz w:val="20"/>
              </w:rPr>
              <w:t xml:space="preserve">□现场审核   </w:t>
            </w:r>
            <w:r>
              <w:rPr>
                <w:rFonts w:hint="eastAsia" w:ascii="宋体" w:hAnsi="宋体"/>
                <w:b/>
                <w:bCs/>
                <w:sz w:val="20"/>
              </w:rPr>
              <w:sym w:font="Wingdings 2" w:char="0052"/>
            </w:r>
            <w:r>
              <w:rPr>
                <w:rFonts w:hint="eastAsia" w:ascii="宋体" w:hAnsi="宋体"/>
                <w:b/>
                <w:bCs/>
                <w:sz w:val="20"/>
              </w:rPr>
              <w:t>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6"/>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音频</w:t>
            </w:r>
            <w:r>
              <w:rPr>
                <w:rFonts w:hint="eastAsia" w:ascii="宋体" w:hAnsi="宋体"/>
                <w:b/>
                <w:bCs/>
                <w:color w:val="0000FF"/>
                <w:sz w:val="20"/>
              </w:rPr>
              <w:sym w:font="Wingdings 2" w:char="0052"/>
            </w:r>
            <w:r>
              <w:rPr>
                <w:rFonts w:hint="eastAsia" w:ascii="宋体" w:hAnsi="宋体"/>
                <w:b/>
                <w:bCs/>
                <w:color w:val="0000FF"/>
                <w:sz w:val="20"/>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6"/>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 xml:space="preserve">网络 </w:t>
            </w:r>
            <w:r>
              <w:rPr>
                <w:rFonts w:hint="eastAsia" w:ascii="宋体" w:hAnsi="宋体"/>
                <w:b/>
                <w:bCs/>
                <w:color w:val="0000FF"/>
                <w:sz w:val="20"/>
              </w:rPr>
              <w:sym w:font="Wingdings 2" w:char="0052"/>
            </w:r>
            <w:r>
              <w:rPr>
                <w:rFonts w:hint="eastAsia" w:ascii="宋体" w:hAnsi="宋体"/>
                <w:b/>
                <w:bCs/>
                <w:color w:val="0000FF"/>
                <w:sz w:val="20"/>
              </w:rPr>
              <w:t xml:space="preserve">智能手机  □台式电脑 </w:t>
            </w:r>
            <w:r>
              <w:rPr>
                <w:rFonts w:hint="eastAsia" w:ascii="宋体" w:hAnsi="宋体"/>
                <w:b/>
                <w:bCs/>
                <w:color w:val="0000FF"/>
                <w:sz w:val="20"/>
              </w:rPr>
              <w:sym w:font="Wingdings 2" w:char="0052"/>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6"/>
          </w:tcPr>
          <w:p>
            <w:pPr>
              <w:rPr>
                <w:rFonts w:ascii="宋体" w:hAnsi="宋体"/>
                <w:b/>
                <w:bCs/>
                <w:sz w:val="20"/>
                <w:szCs w:val="22"/>
              </w:rPr>
            </w:pPr>
            <w:bookmarkStart w:id="18" w:name="二阶段勾选"/>
            <w:r>
              <w:rPr>
                <w:rFonts w:hint="eastAsia" w:ascii="宋体" w:hAnsi="宋体"/>
                <w:b/>
                <w:bCs/>
                <w:sz w:val="20"/>
                <w:szCs w:val="22"/>
              </w:rPr>
              <w:t>□</w:t>
            </w:r>
            <w:bookmarkEnd w:id="18"/>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19" w:name="再认证勾选Add1"/>
            <w:r>
              <w:rPr>
                <w:rFonts w:hint="eastAsia" w:ascii="宋体" w:hAnsi="宋体"/>
                <w:b/>
                <w:bCs/>
                <w:sz w:val="20"/>
                <w:szCs w:val="22"/>
              </w:rPr>
              <w:t>□</w:t>
            </w:r>
            <w:bookmarkEnd w:id="19"/>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0" w:name="特殊审核勾选"/>
            <w:r>
              <w:rPr>
                <w:rFonts w:hint="eastAsia" w:ascii="宋体" w:hAnsi="宋体"/>
                <w:b/>
                <w:bCs/>
                <w:sz w:val="20"/>
                <w:szCs w:val="22"/>
              </w:rPr>
              <w:t>□</w:t>
            </w:r>
            <w:bookmarkEnd w:id="20"/>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sym w:font="Wingdings 2" w:char="0052"/>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4"/>
            <w:vAlign w:val="center"/>
          </w:tcPr>
          <w:p>
            <w:pPr>
              <w:rPr>
                <w:sz w:val="20"/>
              </w:rPr>
            </w:pPr>
            <w:bookmarkStart w:id="21" w:name="审核范围"/>
            <w:r>
              <w:rPr>
                <w:sz w:val="20"/>
              </w:rPr>
              <w:t>E：环保固液分离设备（压滤机、柱塞泵）的销售（法规强制要求范围除外）所涉及的相关环境管理活动。</w:t>
            </w:r>
          </w:p>
          <w:p>
            <w:pPr>
              <w:rPr>
                <w:sz w:val="20"/>
              </w:rPr>
            </w:pPr>
            <w:r>
              <w:rPr>
                <w:sz w:val="20"/>
              </w:rPr>
              <w:t>O：环保固液分离设备（压滤机、柱塞泵）的销售（法规强制要求范围除外）所涉及的相关职业健康安全管理活动。</w:t>
            </w:r>
            <w:bookmarkEnd w:id="21"/>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vAlign w:val="center"/>
          </w:tcPr>
          <w:p>
            <w:pPr>
              <w:jc w:val="left"/>
              <w:rPr>
                <w:sz w:val="20"/>
              </w:rPr>
            </w:pPr>
            <w:bookmarkStart w:id="22" w:name="专业代码"/>
            <w:r>
              <w:rPr>
                <w:sz w:val="20"/>
              </w:rPr>
              <w:t>E：29.10.07</w:t>
            </w:r>
          </w:p>
          <w:p>
            <w:pPr>
              <w:jc w:val="left"/>
              <w:rPr>
                <w:sz w:val="20"/>
              </w:rPr>
            </w:pPr>
            <w:r>
              <w:rPr>
                <w:sz w:val="20"/>
              </w:rPr>
              <w:t>O：29.10.07</w:t>
            </w:r>
            <w:bookmarkEnd w:id="22"/>
          </w:p>
        </w:tc>
      </w:tr>
    </w:tbl>
    <w:p/>
    <w:p>
      <w:pPr>
        <w:pStyle w:val="2"/>
      </w:pPr>
    </w:p>
    <w:p>
      <w:pPr>
        <w:pStyle w:val="2"/>
      </w:pPr>
      <w:r>
        <w:drawing>
          <wp:inline distT="0" distB="0" distL="114300" distR="114300">
            <wp:extent cx="6248400" cy="8950325"/>
            <wp:effectExtent l="0" t="0" r="0"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6248400" cy="8950325"/>
                    </a:xfrm>
                    <a:prstGeom prst="rect">
                      <a:avLst/>
                    </a:prstGeom>
                    <a:noFill/>
                    <a:ln>
                      <a:noFill/>
                    </a:ln>
                  </pic:spPr>
                </pic:pic>
              </a:graphicData>
            </a:graphic>
          </wp:inline>
        </w:drawing>
      </w:r>
    </w:p>
    <w:tbl>
      <w:tblPr>
        <w:tblStyle w:val="6"/>
        <w:tblpPr w:leftFromText="180" w:rightFromText="180" w:vertAnchor="text" w:horzAnchor="page" w:tblpX="893" w:tblpY="392"/>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73"/>
        <w:gridCol w:w="720"/>
        <w:gridCol w:w="6230"/>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46"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37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72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623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251"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46" w:type="dxa"/>
            <w:vMerge w:val="restart"/>
            <w:tcBorders>
              <w:left w:val="single" w:color="auto" w:sz="8" w:space="0"/>
            </w:tcBorders>
            <w:vAlign w:val="center"/>
          </w:tcPr>
          <w:p>
            <w:pPr>
              <w:snapToGrid w:val="0"/>
              <w:spacing w:line="280" w:lineRule="exact"/>
              <w:jc w:val="cente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2022年4月25日</w:t>
            </w:r>
          </w:p>
        </w:tc>
        <w:tc>
          <w:tcPr>
            <w:tcW w:w="1373" w:type="dxa"/>
            <w:vAlign w:val="center"/>
          </w:tcPr>
          <w:p>
            <w:pPr>
              <w:snapToGrid w:val="0"/>
              <w:spacing w:line="280" w:lineRule="exact"/>
              <w:jc w:val="cente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8：30-9：00</w:t>
            </w:r>
          </w:p>
        </w:tc>
        <w:tc>
          <w:tcPr>
            <w:tcW w:w="720" w:type="dxa"/>
            <w:vAlign w:val="center"/>
          </w:tcPr>
          <w:p>
            <w:pPr>
              <w:snapToGrid w:val="0"/>
              <w:spacing w:line="280" w:lineRule="exact"/>
              <w:jc w:val="center"/>
              <w:rPr>
                <w:rFonts w:ascii="宋体" w:hAnsi="宋体"/>
                <w:b/>
                <w:bCs/>
                <w:color w:val="auto"/>
                <w:sz w:val="21"/>
                <w:szCs w:val="21"/>
              </w:rPr>
            </w:pPr>
          </w:p>
        </w:tc>
        <w:tc>
          <w:tcPr>
            <w:tcW w:w="6230" w:type="dxa"/>
            <w:vAlign w:val="center"/>
          </w:tcPr>
          <w:p>
            <w:pPr>
              <w:snapToGrid w:val="0"/>
              <w:spacing w:line="280" w:lineRule="exact"/>
              <w:jc w:val="center"/>
              <w:rPr>
                <w:rFonts w:ascii="宋体" w:hAnsi="宋体"/>
                <w:b/>
                <w:bCs/>
                <w:color w:val="auto"/>
                <w:sz w:val="21"/>
                <w:szCs w:val="21"/>
              </w:rPr>
            </w:pPr>
            <w:r>
              <w:rPr>
                <w:rFonts w:hint="eastAsia" w:ascii="宋体" w:hAnsi="宋体"/>
                <w:b/>
                <w:bCs/>
                <w:sz w:val="21"/>
                <w:szCs w:val="21"/>
              </w:rPr>
              <w:t>首次会议</w:t>
            </w:r>
          </w:p>
        </w:tc>
        <w:tc>
          <w:tcPr>
            <w:tcW w:w="1251" w:type="dxa"/>
            <w:tcBorders>
              <w:right w:val="single" w:color="auto" w:sz="8" w:space="0"/>
            </w:tcBorders>
            <w:vAlign w:val="center"/>
          </w:tcPr>
          <w:p>
            <w:pPr>
              <w:snapToGrid w:val="0"/>
              <w:spacing w:line="280" w:lineRule="exact"/>
              <w:jc w:val="cente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A/远程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46" w:type="dxa"/>
            <w:vMerge w:val="continue"/>
            <w:tcBorders>
              <w:left w:val="single" w:color="auto" w:sz="8" w:space="0"/>
            </w:tcBorders>
            <w:vAlign w:val="center"/>
          </w:tcPr>
          <w:p>
            <w:pPr>
              <w:snapToGrid w:val="0"/>
              <w:spacing w:line="280" w:lineRule="exact"/>
              <w:jc w:val="center"/>
              <w:rPr>
                <w:rFonts w:hint="eastAsia" w:ascii="宋体" w:hAnsi="宋体"/>
                <w:b/>
                <w:bCs/>
                <w:color w:val="auto"/>
                <w:sz w:val="21"/>
                <w:szCs w:val="21"/>
                <w:lang w:val="en-US" w:eastAsia="zh-CN"/>
              </w:rPr>
            </w:pPr>
          </w:p>
        </w:tc>
        <w:tc>
          <w:tcPr>
            <w:tcW w:w="1373" w:type="dxa"/>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9:00-12:00</w:t>
            </w:r>
          </w:p>
        </w:tc>
        <w:tc>
          <w:tcPr>
            <w:tcW w:w="720" w:type="dxa"/>
            <w:vAlign w:val="center"/>
          </w:tcPr>
          <w:p>
            <w:pPr>
              <w:snapToGrid w:val="0"/>
              <w:spacing w:line="280" w:lineRule="exact"/>
              <w:jc w:val="center"/>
              <w:rPr>
                <w:rFonts w:hint="default" w:ascii="宋体" w:hAnsi="宋体" w:eastAsia="宋体"/>
                <w:b/>
                <w:bCs/>
                <w:color w:val="auto"/>
                <w:sz w:val="21"/>
                <w:szCs w:val="21"/>
                <w:lang w:val="en-US" w:eastAsia="zh-CN"/>
              </w:rPr>
            </w:pPr>
            <w:r>
              <w:rPr>
                <w:rFonts w:hint="eastAsia" w:ascii="宋体" w:hAnsi="宋体" w:cs="Times New Roman"/>
                <w:sz w:val="24"/>
                <w:lang w:val="en-US" w:eastAsia="zh-CN"/>
              </w:rPr>
              <w:t>领导层含员工代表</w:t>
            </w:r>
          </w:p>
        </w:tc>
        <w:tc>
          <w:tcPr>
            <w:tcW w:w="6230" w:type="dxa"/>
            <w:vAlign w:val="center"/>
          </w:tcPr>
          <w:p>
            <w:pPr>
              <w:tabs>
                <w:tab w:val="left" w:pos="709"/>
              </w:tabs>
              <w:ind w:right="57"/>
              <w:rPr>
                <w:sz w:val="21"/>
                <w:szCs w:val="21"/>
              </w:rPr>
            </w:pPr>
            <w:r>
              <w:rPr>
                <w:rFonts w:hint="eastAsia"/>
                <w:sz w:val="21"/>
                <w:szCs w:val="21"/>
              </w:rPr>
              <w:t>1、企业概况及组织体系</w:t>
            </w:r>
            <w:r>
              <w:rPr>
                <w:rFonts w:hint="eastAsia"/>
                <w:sz w:val="21"/>
                <w:szCs w:val="21"/>
                <w:lang w:val="en-US" w:eastAsia="zh-CN"/>
              </w:rPr>
              <w:t>持续运行</w:t>
            </w:r>
            <w:r>
              <w:rPr>
                <w:rFonts w:hint="eastAsia"/>
                <w:sz w:val="21"/>
                <w:szCs w:val="21"/>
              </w:rPr>
              <w:t>总体过程：</w:t>
            </w:r>
          </w:p>
          <w:p>
            <w:pPr>
              <w:tabs>
                <w:tab w:val="left" w:pos="709"/>
              </w:tabs>
              <w:ind w:right="57"/>
              <w:rPr>
                <w:rFonts w:hint="default" w:eastAsia="宋体"/>
                <w:sz w:val="21"/>
                <w:szCs w:val="21"/>
                <w:lang w:val="en-US" w:eastAsia="zh-CN"/>
              </w:rPr>
            </w:pPr>
            <w:r>
              <w:rPr>
                <w:rFonts w:hint="eastAsia"/>
                <w:sz w:val="21"/>
                <w:szCs w:val="21"/>
              </w:rPr>
              <w:t>*影响企业</w:t>
            </w:r>
            <w:r>
              <w:rPr>
                <w:rFonts w:hint="eastAsia"/>
                <w:sz w:val="21"/>
                <w:szCs w:val="21"/>
                <w:lang w:val="en-US" w:eastAsia="zh-CN"/>
              </w:rPr>
              <w:t>ES</w:t>
            </w:r>
            <w:r>
              <w:rPr>
                <w:rFonts w:hint="eastAsia"/>
                <w:sz w:val="21"/>
                <w:szCs w:val="21"/>
              </w:rPr>
              <w:t>管理体系预期结果的风险识别与应对</w:t>
            </w:r>
            <w:r>
              <w:rPr>
                <w:rFonts w:hint="eastAsia"/>
                <w:sz w:val="21"/>
                <w:szCs w:val="21"/>
                <w:lang w:val="en-US" w:eastAsia="zh-CN"/>
              </w:rPr>
              <w:t>的持续有效性</w:t>
            </w:r>
            <w:r>
              <w:rPr>
                <w:rFonts w:hint="eastAsia"/>
                <w:sz w:val="21"/>
                <w:szCs w:val="21"/>
              </w:rPr>
              <w:t>，包括相关方需求识别和应对，以及风险识别与应对机制的</w:t>
            </w:r>
            <w:r>
              <w:rPr>
                <w:rFonts w:hint="eastAsia"/>
                <w:sz w:val="21"/>
                <w:szCs w:val="21"/>
                <w:lang w:val="en-US" w:eastAsia="zh-CN"/>
              </w:rPr>
              <w:t>持续有效性</w:t>
            </w:r>
            <w:r>
              <w:rPr>
                <w:rFonts w:hint="eastAsia"/>
                <w:sz w:val="21"/>
                <w:szCs w:val="21"/>
                <w:lang w:eastAsia="zh-CN"/>
              </w:rPr>
              <w:t>；（</w:t>
            </w:r>
            <w:r>
              <w:rPr>
                <w:rFonts w:hint="eastAsia"/>
                <w:sz w:val="21"/>
                <w:szCs w:val="21"/>
                <w:lang w:val="en-US" w:eastAsia="zh-CN"/>
              </w:rPr>
              <w:t>ES4.1、4.2、6.1.1）</w:t>
            </w:r>
          </w:p>
          <w:p>
            <w:pPr>
              <w:tabs>
                <w:tab w:val="left" w:pos="709"/>
              </w:tabs>
              <w:ind w:right="57"/>
              <w:rPr>
                <w:rFonts w:hint="eastAsia"/>
                <w:sz w:val="21"/>
                <w:szCs w:val="21"/>
                <w:lang w:val="en-US" w:eastAsia="zh-CN"/>
              </w:rPr>
            </w:pPr>
            <w:r>
              <w:rPr>
                <w:rFonts w:hint="eastAsia"/>
                <w:sz w:val="21"/>
                <w:szCs w:val="21"/>
              </w:rPr>
              <w:t>*管理体系范围确定的适宜性和充分性及体系过程</w:t>
            </w:r>
            <w:r>
              <w:rPr>
                <w:rFonts w:hint="eastAsia"/>
                <w:sz w:val="21"/>
                <w:szCs w:val="21"/>
                <w:lang w:eastAsia="zh-CN"/>
              </w:rPr>
              <w:t>；（</w:t>
            </w:r>
            <w:r>
              <w:rPr>
                <w:rFonts w:hint="eastAsia"/>
                <w:sz w:val="21"/>
                <w:szCs w:val="21"/>
                <w:lang w:val="en-US" w:eastAsia="zh-CN"/>
              </w:rPr>
              <w:t>ES4.3、4.4）</w:t>
            </w:r>
          </w:p>
          <w:p>
            <w:pPr>
              <w:tabs>
                <w:tab w:val="left" w:pos="709"/>
              </w:tabs>
              <w:ind w:right="57"/>
              <w:rPr>
                <w:rFonts w:hint="default" w:eastAsia="宋体"/>
                <w:sz w:val="21"/>
                <w:szCs w:val="21"/>
                <w:lang w:val="en-US" w:eastAsia="zh-CN"/>
              </w:rPr>
            </w:pPr>
            <w:r>
              <w:rPr>
                <w:rFonts w:hint="eastAsia"/>
                <w:sz w:val="21"/>
                <w:szCs w:val="21"/>
              </w:rPr>
              <w:t>*组织方针、目标的适宜性</w:t>
            </w:r>
            <w:r>
              <w:rPr>
                <w:rFonts w:hint="eastAsia"/>
                <w:sz w:val="21"/>
                <w:szCs w:val="21"/>
                <w:lang w:val="en-US" w:eastAsia="zh-CN"/>
              </w:rPr>
              <w:t>及与适用的法定要求的符合性；（ES5.2、6.2）</w:t>
            </w:r>
          </w:p>
          <w:p>
            <w:pPr>
              <w:tabs>
                <w:tab w:val="left" w:pos="709"/>
              </w:tabs>
              <w:ind w:right="57"/>
              <w:rPr>
                <w:rFonts w:hint="default"/>
                <w:lang w:val="en-US" w:eastAsia="zh-CN"/>
              </w:rPr>
            </w:pPr>
            <w:r>
              <w:rPr>
                <w:rFonts w:hint="eastAsia"/>
                <w:sz w:val="21"/>
                <w:szCs w:val="21"/>
              </w:rPr>
              <w:t>*组织架构及职责分配</w:t>
            </w:r>
            <w:r>
              <w:rPr>
                <w:rFonts w:hint="eastAsia"/>
                <w:sz w:val="21"/>
                <w:szCs w:val="21"/>
                <w:lang w:val="en-US" w:eastAsia="zh-CN"/>
              </w:rPr>
              <w:t>保持</w:t>
            </w:r>
            <w:r>
              <w:rPr>
                <w:rFonts w:hint="eastAsia"/>
                <w:sz w:val="21"/>
                <w:szCs w:val="21"/>
              </w:rPr>
              <w:t>的适宜性</w:t>
            </w:r>
            <w:r>
              <w:rPr>
                <w:rFonts w:hint="eastAsia"/>
                <w:sz w:val="21"/>
                <w:szCs w:val="21"/>
                <w:lang w:eastAsia="zh-CN"/>
              </w:rPr>
              <w:t>；（</w:t>
            </w:r>
            <w:r>
              <w:rPr>
                <w:rFonts w:hint="eastAsia"/>
                <w:sz w:val="21"/>
                <w:szCs w:val="21"/>
                <w:lang w:val="en-US" w:eastAsia="zh-CN"/>
              </w:rPr>
              <w:t>ES5.3、S5.4）</w:t>
            </w:r>
          </w:p>
          <w:p>
            <w:pPr>
              <w:tabs>
                <w:tab w:val="left" w:pos="709"/>
              </w:tabs>
              <w:ind w:right="57"/>
              <w:rPr>
                <w:rFonts w:hint="default" w:eastAsia="宋体"/>
                <w:sz w:val="21"/>
                <w:szCs w:val="21"/>
                <w:lang w:val="en-US" w:eastAsia="zh-CN"/>
              </w:rPr>
            </w:pPr>
            <w:r>
              <w:rPr>
                <w:rFonts w:hint="eastAsia"/>
                <w:sz w:val="21"/>
                <w:szCs w:val="21"/>
              </w:rPr>
              <w:t>*体系必要资源</w:t>
            </w:r>
            <w:r>
              <w:rPr>
                <w:rFonts w:hint="eastAsia"/>
                <w:sz w:val="21"/>
                <w:szCs w:val="21"/>
                <w:lang w:val="en-US" w:eastAsia="zh-CN"/>
              </w:rPr>
              <w:t>持续</w:t>
            </w:r>
            <w:r>
              <w:rPr>
                <w:rFonts w:hint="eastAsia"/>
                <w:sz w:val="21"/>
                <w:szCs w:val="21"/>
              </w:rPr>
              <w:t>提供的充分性</w:t>
            </w:r>
            <w:r>
              <w:rPr>
                <w:rFonts w:hint="eastAsia"/>
                <w:sz w:val="21"/>
                <w:szCs w:val="21"/>
                <w:lang w:eastAsia="zh-CN"/>
              </w:rPr>
              <w:t>；（</w:t>
            </w:r>
            <w:r>
              <w:rPr>
                <w:rFonts w:hint="eastAsia"/>
                <w:sz w:val="21"/>
                <w:szCs w:val="21"/>
                <w:lang w:val="en-US" w:eastAsia="zh-CN"/>
              </w:rPr>
              <w:t>ES7.1)</w:t>
            </w:r>
          </w:p>
          <w:p>
            <w:pPr>
              <w:tabs>
                <w:tab w:val="left" w:pos="709"/>
              </w:tabs>
              <w:ind w:right="57"/>
              <w:rPr>
                <w:sz w:val="21"/>
                <w:szCs w:val="21"/>
              </w:rPr>
            </w:pPr>
            <w:r>
              <w:rPr>
                <w:rFonts w:hint="eastAsia"/>
                <w:sz w:val="21"/>
                <w:szCs w:val="21"/>
              </w:rPr>
              <w:t>2、体系综合绩效检查、评价和改进过程</w:t>
            </w:r>
            <w:r>
              <w:rPr>
                <w:rFonts w:hint="eastAsia"/>
                <w:sz w:val="21"/>
                <w:szCs w:val="21"/>
                <w:lang w:val="en-US" w:eastAsia="zh-CN"/>
              </w:rPr>
              <w:t>的持续有效性</w:t>
            </w:r>
            <w:r>
              <w:rPr>
                <w:rFonts w:hint="eastAsia"/>
                <w:sz w:val="21"/>
                <w:szCs w:val="21"/>
              </w:rPr>
              <w:t>：</w:t>
            </w:r>
          </w:p>
          <w:p>
            <w:pPr>
              <w:tabs>
                <w:tab w:val="left" w:pos="709"/>
              </w:tabs>
              <w:ind w:right="57"/>
              <w:rPr>
                <w:rFonts w:hint="default" w:eastAsia="宋体"/>
                <w:sz w:val="21"/>
                <w:szCs w:val="21"/>
                <w:lang w:val="en-US" w:eastAsia="zh-CN"/>
              </w:rPr>
            </w:pPr>
            <w:r>
              <w:rPr>
                <w:rFonts w:hint="eastAsia"/>
                <w:sz w:val="21"/>
                <w:szCs w:val="21"/>
              </w:rPr>
              <w:t>*管理评审的实施及作用</w:t>
            </w:r>
            <w:r>
              <w:rPr>
                <w:rFonts w:hint="eastAsia"/>
                <w:sz w:val="21"/>
                <w:szCs w:val="21"/>
                <w:lang w:eastAsia="zh-CN"/>
              </w:rPr>
              <w:t>；</w:t>
            </w:r>
            <w:r>
              <w:rPr>
                <w:rFonts w:hint="eastAsia"/>
                <w:sz w:val="21"/>
                <w:szCs w:val="21"/>
                <w:lang w:val="en-US" w:eastAsia="zh-CN"/>
              </w:rPr>
              <w:t>(ES9.3)</w:t>
            </w:r>
          </w:p>
          <w:p>
            <w:pPr>
              <w:tabs>
                <w:tab w:val="left" w:pos="709"/>
              </w:tabs>
              <w:ind w:right="57"/>
              <w:rPr>
                <w:rFonts w:hint="eastAsia" w:eastAsia="宋体"/>
                <w:sz w:val="21"/>
                <w:szCs w:val="21"/>
                <w:lang w:eastAsia="zh-CN"/>
              </w:rPr>
            </w:pPr>
            <w:r>
              <w:rPr>
                <w:rFonts w:hint="eastAsia"/>
                <w:sz w:val="21"/>
                <w:szCs w:val="21"/>
              </w:rPr>
              <w:t>3、</w:t>
            </w:r>
            <w:r>
              <w:rPr>
                <w:rFonts w:hint="eastAsia"/>
                <w:sz w:val="21"/>
                <w:szCs w:val="21"/>
                <w:lang w:val="en-US" w:eastAsia="zh-CN"/>
              </w:rPr>
              <w:t>体系持续运行</w:t>
            </w:r>
            <w:r>
              <w:rPr>
                <w:rFonts w:hint="eastAsia"/>
                <w:sz w:val="21"/>
                <w:szCs w:val="21"/>
              </w:rPr>
              <w:t>状况(包括</w:t>
            </w:r>
            <w:r>
              <w:rPr>
                <w:rFonts w:hint="eastAsia"/>
                <w:sz w:val="21"/>
                <w:szCs w:val="21"/>
                <w:lang w:val="en-US" w:eastAsia="zh-CN"/>
              </w:rPr>
              <w:t>资质再确认、</w:t>
            </w:r>
            <w:r>
              <w:rPr>
                <w:rFonts w:hint="eastAsia"/>
                <w:sz w:val="21"/>
                <w:szCs w:val="21"/>
              </w:rPr>
              <w:t>环境/安全事故、顾客投诉、监督部门抽查/监测等)</w:t>
            </w:r>
            <w:r>
              <w:rPr>
                <w:rFonts w:hint="eastAsia"/>
                <w:sz w:val="21"/>
                <w:szCs w:val="21"/>
                <w:lang w:eastAsia="zh-CN"/>
              </w:rPr>
              <w:t>；</w:t>
            </w:r>
          </w:p>
          <w:p>
            <w:pPr>
              <w:snapToGrid w:val="0"/>
              <w:spacing w:line="280" w:lineRule="exact"/>
              <w:jc w:val="center"/>
              <w:rPr>
                <w:rFonts w:ascii="宋体" w:hAnsi="宋体"/>
                <w:b/>
                <w:bCs/>
                <w:color w:val="auto"/>
                <w:sz w:val="21"/>
                <w:szCs w:val="21"/>
              </w:rPr>
            </w:pPr>
          </w:p>
        </w:tc>
        <w:tc>
          <w:tcPr>
            <w:tcW w:w="1251" w:type="dxa"/>
            <w:tcBorders>
              <w:right w:val="single" w:color="auto" w:sz="8" w:space="0"/>
            </w:tcBorders>
            <w:vAlign w:val="center"/>
          </w:tcPr>
          <w:p>
            <w:pPr>
              <w:snapToGrid w:val="0"/>
              <w:spacing w:line="280" w:lineRule="exact"/>
              <w:jc w:val="center"/>
              <w:rPr>
                <w:rFonts w:hint="eastAsia" w:ascii="宋体" w:hAnsi="宋体" w:eastAsia="宋体"/>
                <w:b/>
                <w:bCs/>
                <w:color w:val="auto"/>
                <w:sz w:val="21"/>
                <w:szCs w:val="21"/>
                <w:lang w:val="en-US" w:eastAsia="zh-CN"/>
              </w:rPr>
            </w:pPr>
            <w:r>
              <w:rPr>
                <w:rFonts w:hint="eastAsia" w:ascii="宋体" w:hAnsi="宋体"/>
                <w:b/>
                <w:bCs/>
                <w:color w:val="auto"/>
                <w:sz w:val="21"/>
                <w:szCs w:val="21"/>
                <w:lang w:val="en-US" w:eastAsia="zh-CN"/>
              </w:rPr>
              <w:t>A/远程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46" w:type="dxa"/>
            <w:vMerge w:val="continue"/>
            <w:tcBorders>
              <w:left w:val="single" w:color="auto" w:sz="8" w:space="0"/>
            </w:tcBorders>
            <w:vAlign w:val="center"/>
          </w:tcPr>
          <w:p>
            <w:pPr>
              <w:snapToGrid w:val="0"/>
              <w:spacing w:line="280" w:lineRule="exact"/>
              <w:jc w:val="center"/>
              <w:rPr>
                <w:rFonts w:hint="eastAsia" w:ascii="宋体" w:hAnsi="宋体"/>
                <w:b/>
                <w:bCs/>
                <w:color w:val="auto"/>
                <w:sz w:val="21"/>
                <w:szCs w:val="21"/>
                <w:lang w:val="en-US" w:eastAsia="zh-CN"/>
              </w:rPr>
            </w:pPr>
          </w:p>
        </w:tc>
        <w:tc>
          <w:tcPr>
            <w:tcW w:w="1373" w:type="dxa"/>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13:00-17:30</w:t>
            </w:r>
          </w:p>
        </w:tc>
        <w:tc>
          <w:tcPr>
            <w:tcW w:w="720" w:type="dxa"/>
            <w:vAlign w:val="center"/>
          </w:tcPr>
          <w:p>
            <w:pPr>
              <w:snapToGrid w:val="0"/>
              <w:spacing w:line="280" w:lineRule="exact"/>
              <w:jc w:val="center"/>
              <w:rPr>
                <w:rFonts w:ascii="宋体" w:hAnsi="宋体"/>
                <w:b/>
                <w:bCs/>
                <w:color w:val="auto"/>
                <w:sz w:val="21"/>
                <w:szCs w:val="21"/>
              </w:rPr>
            </w:pPr>
            <w:r>
              <w:rPr>
                <w:rFonts w:hint="eastAsia" w:ascii="宋体" w:hAnsi="宋体"/>
                <w:sz w:val="24"/>
                <w:lang w:val="en-US" w:eastAsia="zh-CN"/>
              </w:rPr>
              <w:t>综合部</w:t>
            </w:r>
          </w:p>
        </w:tc>
        <w:tc>
          <w:tcPr>
            <w:tcW w:w="6230" w:type="dxa"/>
            <w:vAlign w:val="center"/>
          </w:tcPr>
          <w:p>
            <w:pPr>
              <w:numPr>
                <w:ilvl w:val="0"/>
                <w:numId w:val="1"/>
              </w:numPr>
              <w:tabs>
                <w:tab w:val="left" w:pos="709"/>
              </w:tabs>
              <w:ind w:right="57"/>
              <w:rPr>
                <w:rFonts w:hint="eastAsia"/>
                <w:sz w:val="21"/>
                <w:szCs w:val="21"/>
              </w:rPr>
            </w:pPr>
            <w:r>
              <w:rPr>
                <w:sz w:val="21"/>
                <w:szCs w:val="21"/>
              </w:rPr>
              <w:t>部门</w:t>
            </w:r>
            <w:r>
              <w:rPr>
                <w:rFonts w:hint="eastAsia"/>
                <w:sz w:val="21"/>
                <w:szCs w:val="21"/>
              </w:rPr>
              <w:t>ES管理体系综合策划过程</w:t>
            </w:r>
            <w:r>
              <w:rPr>
                <w:rFonts w:hint="eastAsia"/>
                <w:sz w:val="21"/>
                <w:szCs w:val="21"/>
                <w:lang w:val="en-US" w:eastAsia="zh-CN"/>
              </w:rPr>
              <w:t>的适宜性；</w:t>
            </w:r>
          </w:p>
          <w:p>
            <w:pPr>
              <w:numPr>
                <w:ilvl w:val="0"/>
                <w:numId w:val="0"/>
              </w:numPr>
              <w:tabs>
                <w:tab w:val="left" w:pos="709"/>
              </w:tabs>
              <w:ind w:right="57" w:rightChars="0"/>
              <w:rPr>
                <w:rFonts w:hint="default" w:eastAsia="宋体"/>
                <w:sz w:val="21"/>
                <w:szCs w:val="21"/>
                <w:lang w:val="en-US" w:eastAsia="zh-CN"/>
              </w:rPr>
            </w:pPr>
            <w:r>
              <w:rPr>
                <w:rFonts w:hint="eastAsia"/>
                <w:sz w:val="21"/>
                <w:szCs w:val="21"/>
                <w:lang w:val="en-US" w:eastAsia="zh-CN"/>
              </w:rPr>
              <w:t>*部门职责分配、公司及部门目标管理的有效性；（ES5.3、6.2）</w:t>
            </w:r>
          </w:p>
          <w:p>
            <w:pPr>
              <w:numPr>
                <w:ilvl w:val="0"/>
                <w:numId w:val="0"/>
              </w:numPr>
              <w:tabs>
                <w:tab w:val="left" w:pos="709"/>
              </w:tabs>
              <w:ind w:right="57" w:rightChars="0"/>
              <w:rPr>
                <w:rFonts w:hint="default" w:eastAsia="宋体"/>
                <w:sz w:val="21"/>
                <w:szCs w:val="21"/>
                <w:lang w:val="en-US" w:eastAsia="zh-CN"/>
              </w:rPr>
            </w:pPr>
            <w:r>
              <w:rPr>
                <w:rFonts w:hint="eastAsia"/>
                <w:sz w:val="21"/>
                <w:szCs w:val="21"/>
                <w:lang w:val="en-US" w:eastAsia="zh-CN"/>
              </w:rPr>
              <w:t>*公司及部门</w:t>
            </w:r>
            <w:r>
              <w:rPr>
                <w:sz w:val="21"/>
                <w:szCs w:val="21"/>
              </w:rPr>
              <w:t>业务过程风险确定及策划，包括</w:t>
            </w:r>
            <w:r>
              <w:rPr>
                <w:rFonts w:hint="eastAsia"/>
                <w:sz w:val="21"/>
                <w:szCs w:val="21"/>
                <w:lang w:val="en-US" w:eastAsia="zh-CN"/>
              </w:rPr>
              <w:t>环境因素、危险源和职业健康安全风险和机遇识别与评价的有效性及适用的合规义务的符合性</w:t>
            </w:r>
            <w:r>
              <w:rPr>
                <w:rFonts w:hint="eastAsia"/>
                <w:sz w:val="21"/>
                <w:szCs w:val="21"/>
                <w:lang w:eastAsia="zh-CN"/>
              </w:rPr>
              <w:t>；</w:t>
            </w:r>
            <w:r>
              <w:rPr>
                <w:rFonts w:hint="eastAsia"/>
                <w:sz w:val="21"/>
                <w:szCs w:val="21"/>
                <w:lang w:val="en-US" w:eastAsia="zh-CN"/>
              </w:rPr>
              <w:t>(ES6.1.2、6.1.3、6.1.4）</w:t>
            </w:r>
          </w:p>
          <w:p>
            <w:pPr>
              <w:pStyle w:val="2"/>
              <w:tabs>
                <w:tab w:val="left" w:pos="709"/>
              </w:tabs>
              <w:ind w:right="57"/>
              <w:rPr>
                <w:rFonts w:hint="default"/>
                <w:bCs w:val="0"/>
                <w:spacing w:val="0"/>
                <w:sz w:val="21"/>
                <w:szCs w:val="21"/>
                <w:lang w:val="en-US" w:eastAsia="zh-CN"/>
              </w:rPr>
            </w:pPr>
            <w:r>
              <w:rPr>
                <w:rFonts w:hint="eastAsia"/>
                <w:bCs w:val="0"/>
                <w:spacing w:val="0"/>
                <w:sz w:val="21"/>
                <w:szCs w:val="21"/>
                <w:lang w:val="en-US" w:eastAsia="zh-CN"/>
              </w:rPr>
              <w:t>2、人力资源支持过程的有效性；</w:t>
            </w:r>
            <w:bookmarkStart w:id="23" w:name="OLE_LINK2"/>
            <w:r>
              <w:rPr>
                <w:rFonts w:hint="eastAsia"/>
                <w:sz w:val="21"/>
                <w:szCs w:val="21"/>
                <w:lang w:val="en-US" w:eastAsia="zh-CN"/>
              </w:rPr>
              <w:t>上次审核不符合7.3条款验证</w:t>
            </w:r>
            <w:bookmarkEnd w:id="23"/>
            <w:r>
              <w:rPr>
                <w:rFonts w:hint="eastAsia"/>
                <w:sz w:val="21"/>
                <w:szCs w:val="21"/>
                <w:lang w:val="en-US" w:eastAsia="zh-CN"/>
              </w:rPr>
              <w:t>；</w:t>
            </w:r>
            <w:r>
              <w:rPr>
                <w:rFonts w:hint="eastAsia"/>
                <w:bCs w:val="0"/>
                <w:spacing w:val="0"/>
                <w:sz w:val="21"/>
                <w:szCs w:val="21"/>
                <w:lang w:val="en-US" w:eastAsia="zh-CN"/>
              </w:rPr>
              <w:t>（ES7.2、7.3)</w:t>
            </w:r>
          </w:p>
          <w:p>
            <w:pPr>
              <w:pStyle w:val="2"/>
              <w:tabs>
                <w:tab w:val="left" w:pos="709"/>
              </w:tabs>
              <w:ind w:right="57"/>
              <w:rPr>
                <w:rFonts w:hint="default" w:eastAsia="宋体"/>
                <w:bCs w:val="0"/>
                <w:spacing w:val="0"/>
                <w:sz w:val="21"/>
                <w:szCs w:val="21"/>
                <w:lang w:val="en-US" w:eastAsia="zh-CN"/>
              </w:rPr>
            </w:pPr>
            <w:r>
              <w:rPr>
                <w:bCs w:val="0"/>
                <w:spacing w:val="0"/>
                <w:sz w:val="21"/>
                <w:szCs w:val="21"/>
              </w:rPr>
              <w:t>3</w:t>
            </w:r>
            <w:r>
              <w:rPr>
                <w:rFonts w:hint="eastAsia"/>
                <w:bCs w:val="0"/>
                <w:spacing w:val="0"/>
                <w:sz w:val="21"/>
                <w:szCs w:val="21"/>
              </w:rPr>
              <w:t>、</w:t>
            </w:r>
            <w:r>
              <w:rPr>
                <w:bCs w:val="0"/>
                <w:spacing w:val="0"/>
                <w:sz w:val="21"/>
                <w:szCs w:val="21"/>
              </w:rPr>
              <w:t>结合部门业务过程活动，关注其环境因素、危险源辨识</w:t>
            </w:r>
            <w:r>
              <w:rPr>
                <w:rFonts w:hint="eastAsia"/>
                <w:bCs w:val="0"/>
                <w:spacing w:val="0"/>
                <w:sz w:val="21"/>
                <w:szCs w:val="21"/>
                <w:lang w:val="en-US" w:eastAsia="zh-CN"/>
              </w:rPr>
              <w:t>和职业健康安全风险和机遇</w:t>
            </w:r>
            <w:r>
              <w:rPr>
                <w:bCs w:val="0"/>
                <w:spacing w:val="0"/>
                <w:sz w:val="21"/>
                <w:szCs w:val="21"/>
              </w:rPr>
              <w:t>运行控制的有效性与应急响应控制</w:t>
            </w:r>
            <w:r>
              <w:rPr>
                <w:rFonts w:hint="eastAsia"/>
                <w:bCs w:val="0"/>
                <w:spacing w:val="0"/>
                <w:sz w:val="21"/>
                <w:szCs w:val="21"/>
                <w:lang w:eastAsia="zh-CN"/>
              </w:rPr>
              <w:t>；（</w:t>
            </w:r>
            <w:r>
              <w:rPr>
                <w:rFonts w:hint="eastAsia"/>
                <w:bCs w:val="0"/>
                <w:spacing w:val="0"/>
                <w:sz w:val="21"/>
                <w:szCs w:val="21"/>
                <w:lang w:val="en-US" w:eastAsia="zh-CN"/>
              </w:rPr>
              <w:t>ES8.1、8.2）</w:t>
            </w:r>
          </w:p>
          <w:p>
            <w:pPr>
              <w:pStyle w:val="2"/>
              <w:tabs>
                <w:tab w:val="left" w:pos="709"/>
              </w:tabs>
              <w:ind w:right="57"/>
              <w:rPr>
                <w:bCs w:val="0"/>
                <w:spacing w:val="0"/>
                <w:sz w:val="21"/>
                <w:szCs w:val="21"/>
              </w:rPr>
            </w:pPr>
            <w:r>
              <w:rPr>
                <w:rFonts w:hint="eastAsia"/>
                <w:bCs w:val="0"/>
                <w:spacing w:val="0"/>
                <w:sz w:val="21"/>
                <w:szCs w:val="21"/>
              </w:rPr>
              <w:t>4、</w:t>
            </w:r>
            <w:r>
              <w:rPr>
                <w:bCs w:val="0"/>
                <w:spacing w:val="0"/>
                <w:sz w:val="21"/>
                <w:szCs w:val="21"/>
              </w:rPr>
              <w:t>管理体系绩效</w:t>
            </w:r>
            <w:r>
              <w:rPr>
                <w:rFonts w:hint="eastAsia"/>
                <w:bCs w:val="0"/>
                <w:spacing w:val="0"/>
                <w:sz w:val="21"/>
                <w:szCs w:val="21"/>
                <w:lang w:val="en-US" w:eastAsia="zh-CN"/>
              </w:rPr>
              <w:t>评价</w:t>
            </w:r>
            <w:r>
              <w:rPr>
                <w:bCs w:val="0"/>
                <w:spacing w:val="0"/>
                <w:sz w:val="21"/>
                <w:szCs w:val="21"/>
              </w:rPr>
              <w:t>及改进</w:t>
            </w:r>
            <w:r>
              <w:rPr>
                <w:rFonts w:hint="eastAsia"/>
                <w:bCs w:val="0"/>
                <w:spacing w:val="0"/>
                <w:sz w:val="21"/>
                <w:szCs w:val="21"/>
                <w:lang w:val="en-US" w:eastAsia="zh-CN"/>
              </w:rPr>
              <w:t>过程</w:t>
            </w:r>
            <w:r>
              <w:rPr>
                <w:bCs w:val="0"/>
                <w:spacing w:val="0"/>
                <w:sz w:val="21"/>
                <w:szCs w:val="21"/>
              </w:rPr>
              <w:t>运行的有效性</w:t>
            </w:r>
          </w:p>
          <w:p>
            <w:pPr>
              <w:tabs>
                <w:tab w:val="left" w:pos="709"/>
              </w:tabs>
              <w:ind w:right="57"/>
              <w:rPr>
                <w:rFonts w:hint="eastAsia"/>
                <w:sz w:val="21"/>
                <w:szCs w:val="21"/>
                <w:lang w:val="en-US" w:eastAsia="zh-CN"/>
              </w:rPr>
            </w:pPr>
            <w:r>
              <w:rPr>
                <w:bCs w:val="0"/>
                <w:spacing w:val="0"/>
                <w:sz w:val="21"/>
                <w:szCs w:val="21"/>
              </w:rPr>
              <w:t>*管理体系的预期结果实现情况</w:t>
            </w:r>
            <w:r>
              <w:rPr>
                <w:rFonts w:hint="eastAsia"/>
                <w:sz w:val="21"/>
                <w:szCs w:val="21"/>
                <w:lang w:eastAsia="zh-CN"/>
              </w:rPr>
              <w:t>；必要的环境和职业健康安全监测和检查(包括但不仅限于内外部实施的环保监测、职业危害监测、职业健康体检、安全、消防检查等)；</w:t>
            </w:r>
            <w:r>
              <w:rPr>
                <w:rFonts w:hint="eastAsia"/>
                <w:sz w:val="21"/>
                <w:szCs w:val="21"/>
                <w:lang w:val="en-US" w:eastAsia="zh-CN"/>
              </w:rPr>
              <w:t>(ES9.1.1)</w:t>
            </w:r>
          </w:p>
          <w:p>
            <w:pPr>
              <w:pStyle w:val="2"/>
              <w:rPr>
                <w:rFonts w:hint="eastAsia"/>
                <w:sz w:val="21"/>
                <w:szCs w:val="21"/>
                <w:lang w:val="en-US" w:eastAsia="zh-CN"/>
              </w:rPr>
            </w:pPr>
            <w:r>
              <w:rPr>
                <w:rFonts w:hint="eastAsia"/>
                <w:sz w:val="21"/>
                <w:szCs w:val="21"/>
                <w:lang w:val="en-US" w:eastAsia="zh-CN"/>
              </w:rPr>
              <w:t>*合规性评价过程的有效性；（ES9.1.2）</w:t>
            </w:r>
          </w:p>
          <w:p>
            <w:pPr>
              <w:pStyle w:val="2"/>
              <w:rPr>
                <w:rFonts w:hint="eastAsia"/>
                <w:sz w:val="21"/>
                <w:szCs w:val="21"/>
                <w:lang w:val="en-US" w:eastAsia="zh-CN"/>
              </w:rPr>
            </w:pPr>
            <w:r>
              <w:rPr>
                <w:bCs w:val="0"/>
                <w:spacing w:val="0"/>
                <w:sz w:val="21"/>
                <w:szCs w:val="21"/>
              </w:rPr>
              <w:t>*</w:t>
            </w:r>
            <w:r>
              <w:rPr>
                <w:rFonts w:hint="eastAsia"/>
                <w:bCs w:val="0"/>
                <w:spacing w:val="0"/>
                <w:sz w:val="21"/>
                <w:szCs w:val="21"/>
              </w:rPr>
              <w:t>内</w:t>
            </w:r>
            <w:r>
              <w:rPr>
                <w:bCs w:val="0"/>
                <w:spacing w:val="0"/>
                <w:sz w:val="21"/>
                <w:szCs w:val="21"/>
              </w:rPr>
              <w:t>审的实施及作用</w:t>
            </w:r>
            <w:r>
              <w:rPr>
                <w:rFonts w:hint="eastAsia"/>
                <w:bCs w:val="0"/>
                <w:spacing w:val="0"/>
                <w:sz w:val="21"/>
                <w:szCs w:val="21"/>
                <w:lang w:eastAsia="zh-CN"/>
              </w:rPr>
              <w:t>；</w:t>
            </w:r>
            <w:r>
              <w:rPr>
                <w:rFonts w:hint="eastAsia"/>
                <w:bCs w:val="0"/>
                <w:spacing w:val="0"/>
                <w:sz w:val="21"/>
                <w:szCs w:val="21"/>
                <w:lang w:val="en-US" w:eastAsia="zh-CN"/>
              </w:rPr>
              <w:t>(ES9.2)</w:t>
            </w:r>
          </w:p>
          <w:p>
            <w:pPr>
              <w:pStyle w:val="2"/>
              <w:rPr>
                <w:rFonts w:hint="default" w:ascii="宋体" w:hAnsi="宋体"/>
                <w:b/>
                <w:bCs/>
                <w:color w:val="auto"/>
                <w:sz w:val="21"/>
                <w:szCs w:val="21"/>
                <w:lang w:val="en-US"/>
              </w:rPr>
            </w:pPr>
            <w:r>
              <w:rPr>
                <w:rFonts w:hint="default"/>
                <w:sz w:val="21"/>
                <w:szCs w:val="21"/>
                <w:lang w:val="en-US" w:eastAsia="zh-CN"/>
              </w:rPr>
              <w:t>*</w:t>
            </w:r>
            <w:r>
              <w:rPr>
                <w:rFonts w:hint="eastAsia"/>
                <w:sz w:val="21"/>
                <w:szCs w:val="21"/>
                <w:lang w:val="en-US" w:eastAsia="zh-CN"/>
              </w:rPr>
              <w:t>内审不符合的整改、管理评审输出的落实情况。；（ES10.2)</w:t>
            </w:r>
          </w:p>
        </w:tc>
        <w:tc>
          <w:tcPr>
            <w:tcW w:w="1251" w:type="dxa"/>
            <w:tcBorders>
              <w:right w:val="single" w:color="auto" w:sz="8" w:space="0"/>
            </w:tcBorders>
            <w:vAlign w:val="center"/>
          </w:tcPr>
          <w:p>
            <w:pPr>
              <w:snapToGrid w:val="0"/>
              <w:spacing w:line="280" w:lineRule="exact"/>
              <w:jc w:val="center"/>
              <w:rPr>
                <w:rFonts w:hint="eastAsia" w:ascii="宋体" w:hAnsi="宋体" w:eastAsia="宋体"/>
                <w:b/>
                <w:bCs/>
                <w:color w:val="auto"/>
                <w:sz w:val="21"/>
                <w:szCs w:val="21"/>
                <w:lang w:val="en-US" w:eastAsia="zh-CN"/>
              </w:rPr>
            </w:pPr>
            <w:r>
              <w:rPr>
                <w:rFonts w:hint="eastAsia" w:ascii="宋体" w:hAnsi="宋体"/>
                <w:b/>
                <w:bCs/>
                <w:color w:val="auto"/>
                <w:sz w:val="21"/>
                <w:szCs w:val="21"/>
                <w:lang w:val="en-US" w:eastAsia="zh-CN"/>
              </w:rPr>
              <w:t>A/远程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46" w:type="dxa"/>
            <w:vMerge w:val="restart"/>
            <w:tcBorders>
              <w:left w:val="single" w:color="auto" w:sz="8" w:space="0"/>
            </w:tcBorders>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2022年4月26日</w:t>
            </w:r>
          </w:p>
        </w:tc>
        <w:tc>
          <w:tcPr>
            <w:tcW w:w="1373" w:type="dxa"/>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8:30-12:00</w:t>
            </w:r>
          </w:p>
        </w:tc>
        <w:tc>
          <w:tcPr>
            <w:tcW w:w="720" w:type="dxa"/>
            <w:vAlign w:val="center"/>
          </w:tcPr>
          <w:p>
            <w:pPr>
              <w:snapToGrid w:val="0"/>
              <w:spacing w:line="280" w:lineRule="exact"/>
              <w:jc w:val="center"/>
              <w:rPr>
                <w:rFonts w:ascii="宋体" w:hAnsi="宋体"/>
                <w:b/>
                <w:bCs/>
                <w:color w:val="auto"/>
                <w:sz w:val="21"/>
                <w:szCs w:val="21"/>
              </w:rPr>
            </w:pPr>
            <w:r>
              <w:rPr>
                <w:rFonts w:hint="eastAsia" w:ascii="宋体" w:hAnsi="宋体"/>
                <w:sz w:val="24"/>
                <w:lang w:val="en-US" w:eastAsia="zh-CN"/>
              </w:rPr>
              <w:t>销售部</w:t>
            </w:r>
          </w:p>
        </w:tc>
        <w:tc>
          <w:tcPr>
            <w:tcW w:w="6230" w:type="dxa"/>
            <w:vAlign w:val="center"/>
          </w:tcPr>
          <w:p>
            <w:pPr>
              <w:numPr>
                <w:ilvl w:val="0"/>
                <w:numId w:val="0"/>
              </w:numPr>
              <w:tabs>
                <w:tab w:val="left" w:pos="709"/>
              </w:tabs>
              <w:ind w:right="57" w:rightChars="0"/>
              <w:rPr>
                <w:rFonts w:hint="eastAsia"/>
                <w:sz w:val="21"/>
                <w:szCs w:val="21"/>
              </w:rPr>
            </w:pPr>
            <w:r>
              <w:rPr>
                <w:rFonts w:hint="eastAsia"/>
                <w:sz w:val="21"/>
                <w:szCs w:val="21"/>
                <w:lang w:val="en-US" w:eastAsia="zh-CN"/>
              </w:rPr>
              <w:t>1、</w:t>
            </w:r>
            <w:r>
              <w:rPr>
                <w:sz w:val="21"/>
                <w:szCs w:val="21"/>
              </w:rPr>
              <w:t>部门</w:t>
            </w:r>
            <w:r>
              <w:rPr>
                <w:rFonts w:hint="eastAsia"/>
                <w:sz w:val="21"/>
                <w:szCs w:val="21"/>
              </w:rPr>
              <w:t>ES管理体系综合策划过程</w:t>
            </w:r>
            <w:r>
              <w:rPr>
                <w:rFonts w:hint="eastAsia"/>
                <w:sz w:val="21"/>
                <w:szCs w:val="21"/>
                <w:lang w:val="en-US" w:eastAsia="zh-CN"/>
              </w:rPr>
              <w:t>的适宜性；</w:t>
            </w:r>
          </w:p>
          <w:p>
            <w:pPr>
              <w:numPr>
                <w:ilvl w:val="0"/>
                <w:numId w:val="0"/>
              </w:numPr>
              <w:tabs>
                <w:tab w:val="left" w:pos="709"/>
              </w:tabs>
              <w:ind w:right="57" w:rightChars="0"/>
              <w:rPr>
                <w:rFonts w:hint="default" w:eastAsia="宋体"/>
                <w:sz w:val="21"/>
                <w:szCs w:val="21"/>
                <w:lang w:val="en-US" w:eastAsia="zh-CN"/>
              </w:rPr>
            </w:pPr>
            <w:r>
              <w:rPr>
                <w:rFonts w:hint="eastAsia"/>
                <w:sz w:val="21"/>
                <w:szCs w:val="21"/>
                <w:lang w:val="en-US" w:eastAsia="zh-CN"/>
              </w:rPr>
              <w:t>*部门职责分配、目标管理的有效性；（ES5.3、6.2）</w:t>
            </w:r>
          </w:p>
          <w:p>
            <w:pPr>
              <w:numPr>
                <w:ilvl w:val="0"/>
                <w:numId w:val="0"/>
              </w:numPr>
              <w:tabs>
                <w:tab w:val="left" w:pos="709"/>
              </w:tabs>
              <w:ind w:right="57" w:rightChars="0"/>
              <w:rPr>
                <w:rFonts w:hint="eastAsia"/>
                <w:sz w:val="21"/>
                <w:szCs w:val="21"/>
                <w:lang w:val="en-US" w:eastAsia="zh-CN"/>
              </w:rPr>
            </w:pPr>
            <w:r>
              <w:rPr>
                <w:rFonts w:hint="eastAsia"/>
                <w:sz w:val="21"/>
                <w:szCs w:val="21"/>
                <w:lang w:val="en-US" w:eastAsia="zh-CN"/>
              </w:rPr>
              <w:t>*</w:t>
            </w:r>
            <w:bookmarkStart w:id="24" w:name="OLE_LINK1"/>
            <w:r>
              <w:rPr>
                <w:rFonts w:hint="eastAsia" w:ascii="Times New Roman" w:hAnsi="Times New Roman" w:eastAsia="宋体" w:cs="Times New Roman"/>
                <w:sz w:val="21"/>
                <w:szCs w:val="21"/>
                <w:lang w:val="en-US" w:eastAsia="zh-CN"/>
              </w:rPr>
              <w:t>环保固液分离设备（压滤机、柱塞泵）的销售</w:t>
            </w:r>
            <w:bookmarkEnd w:id="24"/>
            <w:r>
              <w:rPr>
                <w:sz w:val="21"/>
                <w:szCs w:val="21"/>
              </w:rPr>
              <w:t>业务过程风险确定及策划，包括</w:t>
            </w:r>
            <w:r>
              <w:rPr>
                <w:rFonts w:hint="eastAsia"/>
                <w:sz w:val="21"/>
                <w:szCs w:val="21"/>
                <w:lang w:val="en-US" w:eastAsia="zh-CN"/>
              </w:rPr>
              <w:t>环境因素、危险源和职业健康安全风险和机遇识别与评价的有效性</w:t>
            </w:r>
            <w:r>
              <w:rPr>
                <w:rFonts w:hint="eastAsia"/>
                <w:sz w:val="21"/>
                <w:szCs w:val="21"/>
                <w:lang w:eastAsia="zh-CN"/>
              </w:rPr>
              <w:t>；</w:t>
            </w:r>
            <w:r>
              <w:rPr>
                <w:rFonts w:hint="eastAsia"/>
                <w:sz w:val="21"/>
                <w:szCs w:val="21"/>
                <w:lang w:val="en-US" w:eastAsia="zh-CN"/>
              </w:rPr>
              <w:t>(ES6.1.2、6.1.4）</w:t>
            </w:r>
          </w:p>
          <w:p>
            <w:pPr>
              <w:pStyle w:val="2"/>
              <w:tabs>
                <w:tab w:val="left" w:pos="709"/>
              </w:tabs>
              <w:ind w:right="57"/>
              <w:rPr>
                <w:rFonts w:ascii="宋体" w:hAnsi="宋体"/>
                <w:b/>
                <w:bCs/>
                <w:color w:val="auto"/>
                <w:sz w:val="21"/>
                <w:szCs w:val="21"/>
              </w:rPr>
            </w:pPr>
            <w:r>
              <w:rPr>
                <w:rFonts w:hint="eastAsia"/>
                <w:sz w:val="21"/>
                <w:szCs w:val="21"/>
                <w:lang w:val="en-US" w:eastAsia="zh-CN"/>
              </w:rPr>
              <w:t>2、</w:t>
            </w:r>
            <w:r>
              <w:rPr>
                <w:bCs w:val="0"/>
                <w:spacing w:val="0"/>
                <w:sz w:val="21"/>
                <w:szCs w:val="21"/>
              </w:rPr>
              <w:t>结合</w:t>
            </w:r>
            <w:r>
              <w:rPr>
                <w:rFonts w:hint="eastAsia" w:ascii="Times New Roman" w:hAnsi="Times New Roman" w:eastAsia="宋体" w:cs="Times New Roman"/>
                <w:sz w:val="21"/>
                <w:szCs w:val="21"/>
                <w:lang w:val="en-US" w:eastAsia="zh-CN"/>
              </w:rPr>
              <w:t>环保固液分离设备（压滤机、柱塞泵）的销售</w:t>
            </w:r>
            <w:r>
              <w:rPr>
                <w:bCs w:val="0"/>
                <w:spacing w:val="0"/>
                <w:sz w:val="21"/>
                <w:szCs w:val="21"/>
              </w:rPr>
              <w:t>业务过程活动，关注其环境因素、危险源辨识</w:t>
            </w:r>
            <w:r>
              <w:rPr>
                <w:rFonts w:hint="eastAsia"/>
                <w:bCs w:val="0"/>
                <w:spacing w:val="0"/>
                <w:sz w:val="21"/>
                <w:szCs w:val="21"/>
                <w:lang w:val="en-US" w:eastAsia="zh-CN"/>
              </w:rPr>
              <w:t>和职业健康安全风险和机遇</w:t>
            </w:r>
            <w:r>
              <w:rPr>
                <w:bCs w:val="0"/>
                <w:spacing w:val="0"/>
                <w:sz w:val="21"/>
                <w:szCs w:val="21"/>
              </w:rPr>
              <w:t>运行控制的有效性与应急响应控制</w:t>
            </w:r>
            <w:r>
              <w:rPr>
                <w:rFonts w:hint="eastAsia"/>
                <w:bCs w:val="0"/>
                <w:spacing w:val="0"/>
                <w:sz w:val="21"/>
                <w:szCs w:val="21"/>
                <w:lang w:eastAsia="zh-CN"/>
              </w:rPr>
              <w:t>；（</w:t>
            </w:r>
            <w:r>
              <w:rPr>
                <w:rFonts w:hint="eastAsia"/>
                <w:bCs w:val="0"/>
                <w:spacing w:val="0"/>
                <w:sz w:val="21"/>
                <w:szCs w:val="21"/>
                <w:lang w:val="en-US" w:eastAsia="zh-CN"/>
              </w:rPr>
              <w:t>ES8.1、8.2）</w:t>
            </w:r>
          </w:p>
        </w:tc>
        <w:tc>
          <w:tcPr>
            <w:tcW w:w="1251" w:type="dxa"/>
            <w:tcBorders>
              <w:right w:val="single" w:color="auto" w:sz="8" w:space="0"/>
            </w:tcBorders>
            <w:vAlign w:val="center"/>
          </w:tcPr>
          <w:p>
            <w:pPr>
              <w:snapToGrid w:val="0"/>
              <w:spacing w:line="280" w:lineRule="exact"/>
              <w:jc w:val="center"/>
              <w:rPr>
                <w:rFonts w:hint="eastAsia" w:ascii="宋体" w:hAnsi="宋体" w:eastAsia="宋体"/>
                <w:b/>
                <w:bCs/>
                <w:color w:val="auto"/>
                <w:sz w:val="21"/>
                <w:szCs w:val="21"/>
                <w:lang w:val="en-US" w:eastAsia="zh-CN"/>
              </w:rPr>
            </w:pPr>
            <w:r>
              <w:rPr>
                <w:rFonts w:hint="eastAsia" w:ascii="宋体" w:hAnsi="宋体"/>
                <w:b/>
                <w:bCs/>
                <w:color w:val="auto"/>
                <w:sz w:val="21"/>
                <w:szCs w:val="21"/>
                <w:lang w:val="en-US" w:eastAsia="zh-CN"/>
              </w:rPr>
              <w:t>A/远程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46" w:type="dxa"/>
            <w:vMerge w:val="continue"/>
            <w:tcBorders>
              <w:left w:val="single" w:color="auto" w:sz="8" w:space="0"/>
            </w:tcBorders>
            <w:vAlign w:val="center"/>
          </w:tcPr>
          <w:p>
            <w:pPr>
              <w:snapToGrid w:val="0"/>
              <w:spacing w:line="280" w:lineRule="exact"/>
              <w:jc w:val="center"/>
              <w:rPr>
                <w:rFonts w:hint="eastAsia" w:ascii="宋体" w:hAnsi="宋体"/>
                <w:b/>
                <w:bCs/>
                <w:color w:val="auto"/>
                <w:sz w:val="21"/>
                <w:szCs w:val="21"/>
                <w:lang w:val="en-US" w:eastAsia="zh-CN"/>
              </w:rPr>
            </w:pPr>
          </w:p>
        </w:tc>
        <w:tc>
          <w:tcPr>
            <w:tcW w:w="1373" w:type="dxa"/>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13：00-17：00</w:t>
            </w:r>
          </w:p>
        </w:tc>
        <w:tc>
          <w:tcPr>
            <w:tcW w:w="720" w:type="dxa"/>
            <w:vAlign w:val="center"/>
          </w:tcPr>
          <w:p>
            <w:pPr>
              <w:snapToGrid w:val="0"/>
              <w:spacing w:line="280" w:lineRule="exact"/>
              <w:jc w:val="center"/>
              <w:rPr>
                <w:rFonts w:ascii="宋体" w:hAnsi="宋体"/>
                <w:b/>
                <w:bCs/>
                <w:color w:val="auto"/>
                <w:sz w:val="21"/>
                <w:szCs w:val="21"/>
              </w:rPr>
            </w:pPr>
          </w:p>
        </w:tc>
        <w:tc>
          <w:tcPr>
            <w:tcW w:w="6230" w:type="dxa"/>
            <w:vAlign w:val="center"/>
          </w:tcPr>
          <w:p>
            <w:pPr>
              <w:snapToGrid w:val="0"/>
              <w:spacing w:line="280" w:lineRule="exact"/>
              <w:jc w:val="center"/>
              <w:rPr>
                <w:rFonts w:ascii="宋体" w:hAnsi="宋体"/>
                <w:b/>
                <w:bCs/>
                <w:color w:val="auto"/>
                <w:sz w:val="21"/>
                <w:szCs w:val="21"/>
              </w:rPr>
            </w:pPr>
            <w:r>
              <w:rPr>
                <w:rFonts w:hint="eastAsia" w:ascii="宋体" w:hAnsi="宋体" w:cs="Arial"/>
                <w:sz w:val="21"/>
                <w:szCs w:val="21"/>
              </w:rPr>
              <w:t>补充及跟踪审核：必要部门、必要条款；</w:t>
            </w:r>
          </w:p>
        </w:tc>
        <w:tc>
          <w:tcPr>
            <w:tcW w:w="1251" w:type="dxa"/>
            <w:tcBorders>
              <w:right w:val="single" w:color="auto" w:sz="8" w:space="0"/>
            </w:tcBorders>
            <w:vAlign w:val="center"/>
          </w:tcPr>
          <w:p>
            <w:pPr>
              <w:snapToGrid w:val="0"/>
              <w:spacing w:line="280" w:lineRule="exact"/>
              <w:jc w:val="center"/>
              <w:rPr>
                <w:rFonts w:hint="eastAsia" w:ascii="宋体" w:hAnsi="宋体" w:eastAsia="宋体"/>
                <w:b/>
                <w:bCs/>
                <w:color w:val="auto"/>
                <w:sz w:val="21"/>
                <w:szCs w:val="21"/>
                <w:lang w:val="en-US" w:eastAsia="zh-CN"/>
              </w:rPr>
            </w:pPr>
            <w:r>
              <w:rPr>
                <w:rFonts w:hint="eastAsia" w:ascii="宋体" w:hAnsi="宋体"/>
                <w:b/>
                <w:bCs/>
                <w:color w:val="auto"/>
                <w:sz w:val="21"/>
                <w:szCs w:val="21"/>
                <w:lang w:val="en-US" w:eastAsia="zh-CN"/>
              </w:rPr>
              <w:t>A/远程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46" w:type="dxa"/>
            <w:vMerge w:val="continue"/>
            <w:tcBorders>
              <w:left w:val="single" w:color="auto" w:sz="8" w:space="0"/>
            </w:tcBorders>
            <w:vAlign w:val="center"/>
          </w:tcPr>
          <w:p>
            <w:pPr>
              <w:snapToGrid w:val="0"/>
              <w:spacing w:line="280" w:lineRule="exact"/>
              <w:jc w:val="center"/>
              <w:rPr>
                <w:rFonts w:hint="eastAsia" w:ascii="宋体" w:hAnsi="宋体"/>
                <w:b/>
                <w:bCs/>
                <w:color w:val="auto"/>
                <w:sz w:val="21"/>
                <w:szCs w:val="21"/>
                <w:lang w:val="en-US" w:eastAsia="zh-CN"/>
              </w:rPr>
            </w:pPr>
          </w:p>
        </w:tc>
        <w:tc>
          <w:tcPr>
            <w:tcW w:w="1373" w:type="dxa"/>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17：00-17：30</w:t>
            </w:r>
          </w:p>
        </w:tc>
        <w:tc>
          <w:tcPr>
            <w:tcW w:w="720" w:type="dxa"/>
            <w:vAlign w:val="center"/>
          </w:tcPr>
          <w:p>
            <w:pPr>
              <w:snapToGrid w:val="0"/>
              <w:spacing w:line="280" w:lineRule="exact"/>
              <w:jc w:val="center"/>
              <w:rPr>
                <w:rFonts w:ascii="宋体" w:hAnsi="宋体"/>
                <w:b/>
                <w:bCs/>
                <w:color w:val="auto"/>
                <w:sz w:val="21"/>
                <w:szCs w:val="21"/>
              </w:rPr>
            </w:pPr>
          </w:p>
        </w:tc>
        <w:tc>
          <w:tcPr>
            <w:tcW w:w="6230" w:type="dxa"/>
            <w:vAlign w:val="center"/>
          </w:tcPr>
          <w:p>
            <w:pPr>
              <w:snapToGrid w:val="0"/>
              <w:spacing w:line="280" w:lineRule="exact"/>
              <w:jc w:val="center"/>
              <w:rPr>
                <w:rFonts w:ascii="宋体" w:hAnsi="宋体"/>
                <w:b/>
                <w:bCs/>
                <w:color w:val="auto"/>
                <w:sz w:val="21"/>
                <w:szCs w:val="21"/>
              </w:rPr>
            </w:pPr>
            <w:r>
              <w:rPr>
                <w:rFonts w:hint="eastAsia" w:cs="Arial" w:asciiTheme="minorEastAsia" w:hAnsiTheme="minorEastAsia" w:eastAsiaTheme="minorEastAsia"/>
                <w:sz w:val="21"/>
                <w:szCs w:val="21"/>
              </w:rPr>
              <w:t>审核组与受审核方领导层沟通；</w:t>
            </w:r>
            <w:r>
              <w:rPr>
                <w:rFonts w:hint="eastAsia" w:cs="Arial" w:asciiTheme="minorEastAsia" w:hAnsiTheme="minorEastAsia" w:eastAsiaTheme="minorEastAsia"/>
                <w:sz w:val="21"/>
                <w:szCs w:val="21"/>
                <w:lang w:val="en-US" w:eastAsia="zh-CN"/>
              </w:rPr>
              <w:t>末次会议</w:t>
            </w:r>
          </w:p>
        </w:tc>
        <w:tc>
          <w:tcPr>
            <w:tcW w:w="1251" w:type="dxa"/>
            <w:tcBorders>
              <w:right w:val="single" w:color="auto" w:sz="8" w:space="0"/>
            </w:tcBorders>
            <w:vAlign w:val="center"/>
          </w:tcPr>
          <w:p>
            <w:pPr>
              <w:snapToGrid w:val="0"/>
              <w:spacing w:line="280" w:lineRule="exact"/>
              <w:jc w:val="center"/>
              <w:rPr>
                <w:rFonts w:hint="eastAsia" w:ascii="宋体" w:hAnsi="宋体" w:eastAsia="宋体"/>
                <w:b/>
                <w:bCs/>
                <w:color w:val="auto"/>
                <w:sz w:val="21"/>
                <w:szCs w:val="21"/>
                <w:lang w:val="en-US" w:eastAsia="zh-CN"/>
              </w:rPr>
            </w:pPr>
            <w:r>
              <w:rPr>
                <w:rFonts w:hint="eastAsia" w:ascii="宋体" w:hAnsi="宋体"/>
                <w:b/>
                <w:bCs/>
                <w:color w:val="auto"/>
                <w:sz w:val="21"/>
                <w:szCs w:val="21"/>
                <w:lang w:val="en-US" w:eastAsia="zh-CN"/>
              </w:rPr>
              <w:t>A/远程</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46" w:type="dxa"/>
            <w:tcBorders>
              <w:left w:val="single" w:color="auto" w:sz="8" w:space="0"/>
            </w:tcBorders>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 xml:space="preserve">备注 </w:t>
            </w:r>
          </w:p>
        </w:tc>
        <w:tc>
          <w:tcPr>
            <w:tcW w:w="1373" w:type="dxa"/>
            <w:vAlign w:val="center"/>
          </w:tcPr>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12：00-13：00</w:t>
            </w:r>
          </w:p>
        </w:tc>
        <w:tc>
          <w:tcPr>
            <w:tcW w:w="720" w:type="dxa"/>
            <w:vAlign w:val="center"/>
          </w:tcPr>
          <w:p>
            <w:pPr>
              <w:snapToGrid w:val="0"/>
              <w:spacing w:line="280" w:lineRule="exact"/>
              <w:jc w:val="center"/>
              <w:rPr>
                <w:rFonts w:ascii="宋体" w:hAnsi="宋体"/>
                <w:b/>
                <w:bCs/>
                <w:color w:val="auto"/>
                <w:sz w:val="21"/>
                <w:szCs w:val="21"/>
              </w:rPr>
            </w:pPr>
          </w:p>
        </w:tc>
        <w:tc>
          <w:tcPr>
            <w:tcW w:w="6230" w:type="dxa"/>
            <w:vAlign w:val="center"/>
          </w:tcPr>
          <w:p>
            <w:pPr>
              <w:snapToGrid w:val="0"/>
              <w:spacing w:line="280" w:lineRule="exact"/>
              <w:jc w:val="center"/>
              <w:rPr>
                <w:rFonts w:ascii="宋体" w:hAnsi="宋体"/>
                <w:b/>
                <w:bCs/>
                <w:color w:val="auto"/>
                <w:sz w:val="21"/>
                <w:szCs w:val="21"/>
              </w:rPr>
            </w:pPr>
            <w:r>
              <w:rPr>
                <w:rFonts w:hint="eastAsia" w:ascii="宋体" w:hAnsi="宋体"/>
                <w:b/>
                <w:bCs/>
                <w:sz w:val="21"/>
                <w:szCs w:val="21"/>
                <w:lang w:val="en-US" w:eastAsia="zh-CN"/>
              </w:rPr>
              <w:t>每天午餐时间</w:t>
            </w:r>
          </w:p>
        </w:tc>
        <w:tc>
          <w:tcPr>
            <w:tcW w:w="1251" w:type="dxa"/>
            <w:tcBorders>
              <w:right w:val="single" w:color="auto" w:sz="8" w:space="0"/>
            </w:tcBorders>
            <w:vAlign w:val="center"/>
          </w:tcPr>
          <w:p>
            <w:pPr>
              <w:snapToGrid w:val="0"/>
              <w:spacing w:line="280" w:lineRule="exact"/>
              <w:jc w:val="center"/>
              <w:rPr>
                <w:rFonts w:ascii="宋体" w:hAnsi="宋体"/>
                <w:b/>
                <w:bCs/>
                <w:color w:val="auto"/>
                <w:sz w:val="21"/>
                <w:szCs w:val="21"/>
              </w:rPr>
            </w:pP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2"/>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2"/>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2"/>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2"/>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2"/>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2"/>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E38E7"/>
    <w:multiLevelType w:val="singleLevel"/>
    <w:tmpl w:val="DEFE38E7"/>
    <w:lvl w:ilvl="0" w:tentative="0">
      <w:start w:val="1"/>
      <w:numFmt w:val="decimal"/>
      <w:suff w:val="nothing"/>
      <w:lvlText w:val="%1、"/>
      <w:lvlJc w:val="left"/>
    </w:lvl>
  </w:abstractNum>
  <w:abstractNum w:abstractNumId="1">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M3NDJhNGRkNmZiZjA2OTg3ZjZiMDhkODZkNmNlMjcifQ=="/>
  </w:docVars>
  <w:rsids>
    <w:rsidRoot w:val="00000000"/>
    <w:rsid w:val="006665A7"/>
    <w:rsid w:val="01F33470"/>
    <w:rsid w:val="02963DFC"/>
    <w:rsid w:val="02C40AC2"/>
    <w:rsid w:val="02F0175E"/>
    <w:rsid w:val="035E3749"/>
    <w:rsid w:val="03710AF1"/>
    <w:rsid w:val="046676B4"/>
    <w:rsid w:val="04956A61"/>
    <w:rsid w:val="04F75026"/>
    <w:rsid w:val="0680729D"/>
    <w:rsid w:val="06D03D80"/>
    <w:rsid w:val="078801B7"/>
    <w:rsid w:val="083640B7"/>
    <w:rsid w:val="084D1751"/>
    <w:rsid w:val="08844E22"/>
    <w:rsid w:val="091B59CE"/>
    <w:rsid w:val="09B5110F"/>
    <w:rsid w:val="09B554AF"/>
    <w:rsid w:val="0A794DC8"/>
    <w:rsid w:val="0B161909"/>
    <w:rsid w:val="0B8415DD"/>
    <w:rsid w:val="0B861BBC"/>
    <w:rsid w:val="0BE1258C"/>
    <w:rsid w:val="0C542D5E"/>
    <w:rsid w:val="0D630689"/>
    <w:rsid w:val="0DAC576D"/>
    <w:rsid w:val="0DC93C38"/>
    <w:rsid w:val="0DD27AD6"/>
    <w:rsid w:val="0E012A71"/>
    <w:rsid w:val="0E601E8E"/>
    <w:rsid w:val="0EA855E3"/>
    <w:rsid w:val="0ECC3E0E"/>
    <w:rsid w:val="0F7A2ADB"/>
    <w:rsid w:val="0FBC30F4"/>
    <w:rsid w:val="0FDF3286"/>
    <w:rsid w:val="100B407B"/>
    <w:rsid w:val="10606175"/>
    <w:rsid w:val="107968A7"/>
    <w:rsid w:val="10B42D04"/>
    <w:rsid w:val="10FE6C4B"/>
    <w:rsid w:val="11AE4CBE"/>
    <w:rsid w:val="123212D0"/>
    <w:rsid w:val="12753A2E"/>
    <w:rsid w:val="147E4669"/>
    <w:rsid w:val="148368D6"/>
    <w:rsid w:val="1491707F"/>
    <w:rsid w:val="14FB21D3"/>
    <w:rsid w:val="15E6661C"/>
    <w:rsid w:val="1751381D"/>
    <w:rsid w:val="183F6909"/>
    <w:rsid w:val="18DC5DF4"/>
    <w:rsid w:val="19CA0B03"/>
    <w:rsid w:val="19CD69BB"/>
    <w:rsid w:val="19E219A9"/>
    <w:rsid w:val="1AA82E2D"/>
    <w:rsid w:val="1BEA2D97"/>
    <w:rsid w:val="1BF05492"/>
    <w:rsid w:val="1D716100"/>
    <w:rsid w:val="1D7D4B95"/>
    <w:rsid w:val="1D8611E5"/>
    <w:rsid w:val="1D921938"/>
    <w:rsid w:val="1D977C26"/>
    <w:rsid w:val="1DB81B1A"/>
    <w:rsid w:val="1DC064A5"/>
    <w:rsid w:val="1E6037E4"/>
    <w:rsid w:val="1E877D62"/>
    <w:rsid w:val="1EA0585D"/>
    <w:rsid w:val="1F325180"/>
    <w:rsid w:val="1F933643"/>
    <w:rsid w:val="1FF02946"/>
    <w:rsid w:val="205873FE"/>
    <w:rsid w:val="20850F5E"/>
    <w:rsid w:val="220B7F0B"/>
    <w:rsid w:val="22DD18A7"/>
    <w:rsid w:val="239D6DA0"/>
    <w:rsid w:val="239F4DAE"/>
    <w:rsid w:val="240115C5"/>
    <w:rsid w:val="240510B5"/>
    <w:rsid w:val="242D23BA"/>
    <w:rsid w:val="24BB79C6"/>
    <w:rsid w:val="24DE36B4"/>
    <w:rsid w:val="250550E5"/>
    <w:rsid w:val="25665B84"/>
    <w:rsid w:val="26406A3C"/>
    <w:rsid w:val="28123DA1"/>
    <w:rsid w:val="28445F24"/>
    <w:rsid w:val="29A94291"/>
    <w:rsid w:val="29E17F69"/>
    <w:rsid w:val="2A3049B2"/>
    <w:rsid w:val="2A76603C"/>
    <w:rsid w:val="2AAB5DE7"/>
    <w:rsid w:val="2B0F281A"/>
    <w:rsid w:val="2BA77383"/>
    <w:rsid w:val="2BAC1E16"/>
    <w:rsid w:val="2BE20D5E"/>
    <w:rsid w:val="2BEF4287"/>
    <w:rsid w:val="2BF51C89"/>
    <w:rsid w:val="2C320CD8"/>
    <w:rsid w:val="2C8763E0"/>
    <w:rsid w:val="2CD47877"/>
    <w:rsid w:val="2D8C0151"/>
    <w:rsid w:val="2E2B796A"/>
    <w:rsid w:val="2F9A7ED5"/>
    <w:rsid w:val="2F9E5F1A"/>
    <w:rsid w:val="30F816A8"/>
    <w:rsid w:val="313C59EB"/>
    <w:rsid w:val="317A4765"/>
    <w:rsid w:val="31833619"/>
    <w:rsid w:val="31A33CBC"/>
    <w:rsid w:val="31C61758"/>
    <w:rsid w:val="32B06690"/>
    <w:rsid w:val="33DD5127"/>
    <w:rsid w:val="33FB7DDF"/>
    <w:rsid w:val="348D49EB"/>
    <w:rsid w:val="34B17DD6"/>
    <w:rsid w:val="34E56399"/>
    <w:rsid w:val="34F32864"/>
    <w:rsid w:val="35111896"/>
    <w:rsid w:val="355D298E"/>
    <w:rsid w:val="359A2AB9"/>
    <w:rsid w:val="36EC1C61"/>
    <w:rsid w:val="36FD7411"/>
    <w:rsid w:val="37182A56"/>
    <w:rsid w:val="37265173"/>
    <w:rsid w:val="37691503"/>
    <w:rsid w:val="378105FB"/>
    <w:rsid w:val="37DA2F9B"/>
    <w:rsid w:val="38080D1C"/>
    <w:rsid w:val="38826B93"/>
    <w:rsid w:val="38CE5AC2"/>
    <w:rsid w:val="39671A73"/>
    <w:rsid w:val="39736669"/>
    <w:rsid w:val="3BA55A3E"/>
    <w:rsid w:val="3D7D3613"/>
    <w:rsid w:val="3DBB238D"/>
    <w:rsid w:val="3E2239C0"/>
    <w:rsid w:val="3E5500EC"/>
    <w:rsid w:val="3E895FE7"/>
    <w:rsid w:val="3EC534C3"/>
    <w:rsid w:val="3FA3721B"/>
    <w:rsid w:val="3FC45529"/>
    <w:rsid w:val="3FCE63A8"/>
    <w:rsid w:val="403703F1"/>
    <w:rsid w:val="4037219F"/>
    <w:rsid w:val="403F72A5"/>
    <w:rsid w:val="41BB0BAE"/>
    <w:rsid w:val="432D7889"/>
    <w:rsid w:val="43E2654B"/>
    <w:rsid w:val="440F2252"/>
    <w:rsid w:val="444311C6"/>
    <w:rsid w:val="44507B18"/>
    <w:rsid w:val="44F22B38"/>
    <w:rsid w:val="44F56185"/>
    <w:rsid w:val="4502593A"/>
    <w:rsid w:val="45AA51C1"/>
    <w:rsid w:val="46827EEC"/>
    <w:rsid w:val="49397562"/>
    <w:rsid w:val="499A379E"/>
    <w:rsid w:val="4A431740"/>
    <w:rsid w:val="4B422C19"/>
    <w:rsid w:val="4C4F261E"/>
    <w:rsid w:val="4CB15087"/>
    <w:rsid w:val="4D3F08E5"/>
    <w:rsid w:val="4D432580"/>
    <w:rsid w:val="4DBE0EEC"/>
    <w:rsid w:val="4DC13D02"/>
    <w:rsid w:val="4EF45C02"/>
    <w:rsid w:val="50960C3F"/>
    <w:rsid w:val="50E84DEF"/>
    <w:rsid w:val="51071719"/>
    <w:rsid w:val="51EB103B"/>
    <w:rsid w:val="520746B4"/>
    <w:rsid w:val="523B0D32"/>
    <w:rsid w:val="529B480F"/>
    <w:rsid w:val="52BA4240"/>
    <w:rsid w:val="52E57838"/>
    <w:rsid w:val="53BA6F17"/>
    <w:rsid w:val="54484523"/>
    <w:rsid w:val="54C94F38"/>
    <w:rsid w:val="554747DA"/>
    <w:rsid w:val="56E16569"/>
    <w:rsid w:val="572233DE"/>
    <w:rsid w:val="575A7F68"/>
    <w:rsid w:val="57603931"/>
    <w:rsid w:val="5809038E"/>
    <w:rsid w:val="583D1EC5"/>
    <w:rsid w:val="58782EFD"/>
    <w:rsid w:val="59544AC0"/>
    <w:rsid w:val="59E779BD"/>
    <w:rsid w:val="5A1B7FE4"/>
    <w:rsid w:val="5A541284"/>
    <w:rsid w:val="5A9A35FE"/>
    <w:rsid w:val="5B0B62AA"/>
    <w:rsid w:val="5BAC0880"/>
    <w:rsid w:val="5CA408B1"/>
    <w:rsid w:val="5CBB0910"/>
    <w:rsid w:val="5CDA4186"/>
    <w:rsid w:val="5D2E002E"/>
    <w:rsid w:val="5D4B67F1"/>
    <w:rsid w:val="5D5061F6"/>
    <w:rsid w:val="5DBD203E"/>
    <w:rsid w:val="5E1637AE"/>
    <w:rsid w:val="5E713A0B"/>
    <w:rsid w:val="5ED35331"/>
    <w:rsid w:val="5F264979"/>
    <w:rsid w:val="5FDD6161"/>
    <w:rsid w:val="60DB04CD"/>
    <w:rsid w:val="60E27AAD"/>
    <w:rsid w:val="60F647D1"/>
    <w:rsid w:val="616E30EF"/>
    <w:rsid w:val="61F950AE"/>
    <w:rsid w:val="62430DFE"/>
    <w:rsid w:val="62CA07F9"/>
    <w:rsid w:val="62CA25A7"/>
    <w:rsid w:val="632E0D88"/>
    <w:rsid w:val="638F2DC6"/>
    <w:rsid w:val="647334F8"/>
    <w:rsid w:val="64BD0615"/>
    <w:rsid w:val="65E52144"/>
    <w:rsid w:val="660B715E"/>
    <w:rsid w:val="66111189"/>
    <w:rsid w:val="66285F62"/>
    <w:rsid w:val="66A6332B"/>
    <w:rsid w:val="67114C48"/>
    <w:rsid w:val="672D5013"/>
    <w:rsid w:val="67550FD9"/>
    <w:rsid w:val="68117A53"/>
    <w:rsid w:val="68671CDC"/>
    <w:rsid w:val="686B482C"/>
    <w:rsid w:val="688A4CB2"/>
    <w:rsid w:val="688C6D4A"/>
    <w:rsid w:val="68C1444C"/>
    <w:rsid w:val="68F36A43"/>
    <w:rsid w:val="69005498"/>
    <w:rsid w:val="692C61D8"/>
    <w:rsid w:val="69417844"/>
    <w:rsid w:val="69BA15C7"/>
    <w:rsid w:val="6AE663EC"/>
    <w:rsid w:val="6B6E08BB"/>
    <w:rsid w:val="6BA92C42"/>
    <w:rsid w:val="6C92211C"/>
    <w:rsid w:val="6CB56076"/>
    <w:rsid w:val="6CC00764"/>
    <w:rsid w:val="6CD40BF2"/>
    <w:rsid w:val="6D2D238B"/>
    <w:rsid w:val="6DBB3160"/>
    <w:rsid w:val="6E6733A0"/>
    <w:rsid w:val="6ED737A1"/>
    <w:rsid w:val="70DB568E"/>
    <w:rsid w:val="71104096"/>
    <w:rsid w:val="71237A52"/>
    <w:rsid w:val="717E6F4E"/>
    <w:rsid w:val="719170B1"/>
    <w:rsid w:val="73ED4347"/>
    <w:rsid w:val="743B3304"/>
    <w:rsid w:val="75B5320B"/>
    <w:rsid w:val="75E106F7"/>
    <w:rsid w:val="75F776FF"/>
    <w:rsid w:val="779F1DFC"/>
    <w:rsid w:val="78472074"/>
    <w:rsid w:val="78931961"/>
    <w:rsid w:val="789B0816"/>
    <w:rsid w:val="78D33B67"/>
    <w:rsid w:val="795124C5"/>
    <w:rsid w:val="795B474B"/>
    <w:rsid w:val="797A48CF"/>
    <w:rsid w:val="7A1215C9"/>
    <w:rsid w:val="7ACC2F08"/>
    <w:rsid w:val="7B9306CE"/>
    <w:rsid w:val="7D2A03BA"/>
    <w:rsid w:val="7E1F3C97"/>
    <w:rsid w:val="7E7C2111"/>
    <w:rsid w:val="7E9C7095"/>
    <w:rsid w:val="7EA27B68"/>
    <w:rsid w:val="7EE54599"/>
    <w:rsid w:val="7F5B485B"/>
    <w:rsid w:val="7F5F1A44"/>
    <w:rsid w:val="7FDD3C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next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0</TotalTime>
  <ScaleCrop>false</ScaleCrop>
  <LinksUpToDate>false</LinksUpToDate>
  <CharactersWithSpaces>5336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匡吉文</cp:lastModifiedBy>
  <dcterms:modified xsi:type="dcterms:W3CDTF">2022-04-27T01:45:32Z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2052-11.1.0.11636</vt:lpwstr>
  </property>
  <property fmtid="{D5CDD505-2E9C-101B-9397-08002B2CF9AE}" pid="4" name="commondata">
    <vt:lpwstr>eyJoZGlkIjoiYmM3NDJhNGRkNmZiZjA2OTg3ZjZiMDhkODZkNmNlMjcifQ==</vt:lpwstr>
  </property>
</Properties>
</file>