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0165-2021-Q-2022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陕西锦艺电子科技有限公司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陕西锦艺电子科技有限公司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西安市雁塔区电子西街3号西京三号第5幢十四层51409号</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生产地址：西安市长安区长安科技园创汇路25号/经营地址：西安市雁塔区电子二路锦业大厦8-G</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李蓬军</w:t>
            </w:r>
            <w:bookmarkEnd w:id="10"/>
          </w:p>
        </w:tc>
        <w:tc>
          <w:tcPr>
            <w:tcW w:w="1313" w:type="dxa"/>
            <w:vAlign w:val="center"/>
          </w:tcPr>
          <w:p>
            <w:r>
              <w:rPr>
                <w:rFonts w:hint="eastAsia"/>
              </w:rPr>
              <w:t>电话.</w:t>
            </w:r>
          </w:p>
        </w:tc>
        <w:tc>
          <w:tcPr>
            <w:tcW w:w="2180" w:type="dxa"/>
            <w:vAlign w:val="center"/>
          </w:tcPr>
          <w:p>
            <w:bookmarkStart w:id="11" w:name="联系人电话"/>
            <w:r>
              <w:t>15991809739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李蓬军</w:t>
            </w:r>
            <w:bookmarkEnd w:id="13"/>
          </w:p>
        </w:tc>
        <w:tc>
          <w:tcPr>
            <w:tcW w:w="1313" w:type="dxa"/>
            <w:vAlign w:val="center"/>
          </w:tcPr>
          <w:p>
            <w:r>
              <w:rPr>
                <w:rFonts w:hint="eastAsia"/>
              </w:rPr>
              <w:t>管理者代表</w:t>
            </w:r>
          </w:p>
        </w:tc>
        <w:tc>
          <w:tcPr>
            <w:tcW w:w="2180" w:type="dxa"/>
          </w:tcPr>
          <w:p>
            <w:bookmarkStart w:id="14" w:name="管理者代表"/>
            <w:r>
              <w:t>李蓬军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原材料→金属（车、铣、钻、加工中心）加工→检验→入库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2022年03月15日 上午至2022年03月15日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b/>
                <w:color w:val="0000FF"/>
                <w:szCs w:val="21"/>
              </w:rPr>
            </w:pPr>
            <w:r>
              <w:rPr>
                <w:rFonts w:hint="eastAsia" w:ascii="宋体"/>
                <w:b/>
                <w:color w:val="0000FF"/>
                <w:szCs w:val="21"/>
              </w:rPr>
              <w:t>西安市长安区长安科技园创汇路25号</w:t>
            </w:r>
          </w:p>
          <w:p>
            <w:pPr>
              <w:rPr>
                <w:rFonts w:ascii="宋体"/>
                <w:b/>
                <w:color w:val="0000FF"/>
                <w:szCs w:val="21"/>
              </w:rPr>
            </w:pPr>
            <w:r>
              <w:rPr>
                <w:rFonts w:hint="eastAsia" w:ascii="宋体"/>
                <w:b/>
                <w:color w:val="0000FF"/>
                <w:szCs w:val="21"/>
              </w:rPr>
              <w:t>西安市雁塔区电子二路锦业大厦8-G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机械零部件加工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陕西锦艺电子科技有限公司</w:t>
            </w:r>
            <w:r>
              <w:rPr>
                <w:rFonts w:hint="eastAsia"/>
                <w:lang w:val="en-US" w:eastAsia="zh-CN"/>
              </w:rPr>
              <w:t>/西安市雁塔区电子西街3号西京三号第5幢十四层51409号</w:t>
            </w:r>
          </w:p>
        </w:tc>
        <w:tc>
          <w:tcPr>
            <w:tcW w:w="2267" w:type="dxa"/>
          </w:tcPr>
          <w:p>
            <w:pPr>
              <w:rPr>
                <w:rFonts w:hint="eastAsia" w:eastAsia="宋体"/>
                <w:lang w:val="en-US" w:eastAsia="zh-CN"/>
              </w:rPr>
            </w:pPr>
            <w:r>
              <w:rPr>
                <w:rFonts w:hint="eastAsia"/>
                <w:lang w:val="de-DE" w:eastAsia="ja-JP"/>
              </w:rPr>
              <w:t>西安市长安区长安科技园创汇路25号</w:t>
            </w:r>
            <w:r>
              <w:rPr>
                <w:rFonts w:hint="eastAsia"/>
                <w:lang w:val="en-US" w:eastAsia="zh-CN"/>
              </w:rPr>
              <w:t>/</w:t>
            </w:r>
          </w:p>
          <w:p>
            <w:pPr>
              <w:rPr>
                <w:lang w:val="de-DE" w:eastAsia="ja-JP"/>
              </w:rPr>
            </w:pPr>
            <w:r>
              <w:rPr>
                <w:rFonts w:hint="eastAsia"/>
                <w:lang w:val="de-DE" w:eastAsia="ja-JP"/>
              </w:rPr>
              <w:t>西安市雁塔区电子二路锦业大厦8-G</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lang w:eastAsia="ja-JP"/>
              </w:rPr>
            </w:pPr>
            <w:r>
              <w:rPr>
                <w:rFonts w:hint="eastAsia"/>
                <w:lang w:eastAsia="ja-JP"/>
              </w:rPr>
              <w:t>机械零部件加工</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400050</wp:posOffset>
                  </wp:positionH>
                  <wp:positionV relativeFrom="paragraph">
                    <wp:posOffset>25400</wp:posOffset>
                  </wp:positionV>
                  <wp:extent cx="528955" cy="43942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28955" cy="4394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bookmarkStart w:id="34" w:name="_GoBack"/>
      <w:bookmarkEnd w:id="34"/>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最高管理者制定了文件化的管理体系方针：质量第一，顾客至上；科技创新，持续改进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031"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Times New Roman" w:hAnsi="Times New Roman" w:eastAsia="宋体" w:cs="Times New Roman"/>
                      <w:color w:val="000000"/>
                      <w:kern w:val="2"/>
                      <w:sz w:val="21"/>
                      <w:szCs w:val="21"/>
                      <w:lang w:val="en-US" w:eastAsia="zh-CN" w:bidi="ar-SA"/>
                    </w:rPr>
                  </w:pPr>
                  <w:r>
                    <w:rPr>
                      <w:rFonts w:hint="eastAsia"/>
                      <w:color w:val="auto"/>
                      <w:szCs w:val="21"/>
                    </w:rPr>
                    <w:t>1.</w:t>
                  </w:r>
                  <w:r>
                    <w:rPr>
                      <w:rFonts w:hint="eastAsia"/>
                      <w:color w:val="auto"/>
                      <w:sz w:val="21"/>
                      <w:szCs w:val="21"/>
                    </w:rPr>
                    <w:t>产品一次检验合格率≥95％</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rPr>
                    <w:t>99</w:t>
                  </w:r>
                  <w:r>
                    <w:rPr>
                      <w:rFonts w:hint="eastAsia"/>
                      <w:szCs w:val="21"/>
                      <w:lang w:val="en-US" w:eastAsia="zh-CN"/>
                    </w:rPr>
                    <w:t>.5</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auto"/>
                      <w:szCs w:val="21"/>
                      <w:lang w:val="en-US" w:eastAsia="zh-CN"/>
                    </w:rPr>
                    <w:t>2</w:t>
                  </w:r>
                  <w:r>
                    <w:rPr>
                      <w:rFonts w:hint="eastAsia"/>
                      <w:color w:val="auto"/>
                      <w:szCs w:val="21"/>
                    </w:rPr>
                    <w:t>.</w:t>
                  </w:r>
                  <w:r>
                    <w:rPr>
                      <w:rFonts w:hint="eastAsia"/>
                      <w:color w:val="000000"/>
                      <w:szCs w:val="21"/>
                    </w:rPr>
                    <w:t>顾客满意率  ≥90分</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供销部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szCs w:val="21"/>
                    </w:rPr>
                    <w:t>9</w:t>
                  </w:r>
                  <w:r>
                    <w:rPr>
                      <w:rFonts w:hint="eastAsia"/>
                      <w:szCs w:val="21"/>
                      <w:lang w:val="en-US" w:eastAsia="zh-CN"/>
                    </w:rPr>
                    <w:t>3</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91" w:type="dxa"/>
                  <w:shd w:val="clear" w:color="auto" w:fill="auto"/>
                  <w:vAlign w:val="center"/>
                </w:tcPr>
                <w:p>
                  <w:pPr>
                    <w:widowControl/>
                    <w:jc w:val="left"/>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tabs>
                      <w:tab w:val="left" w:pos="10080"/>
                    </w:tabs>
                    <w:rPr>
                      <w:rFonts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440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1</w:t>
            </w:r>
            <w:r>
              <w:rPr>
                <w:rFonts w:hint="eastAsia"/>
                <w:color w:val="auto"/>
              </w:rPr>
              <w:t>个；实验室个；</w:t>
            </w:r>
          </w:p>
          <w:p>
            <w:pPr>
              <w:shd w:val="clear" w:color="auto" w:fill="C7DAF1" w:themeFill="text2" w:themeFillTint="32"/>
              <w:rPr>
                <w:u w:val="single"/>
              </w:rPr>
            </w:pPr>
            <w:r>
              <w:rPr>
                <w:rFonts w:hint="eastAsia"/>
              </w:rPr>
              <w:t>主要生产设备有：</w:t>
            </w:r>
            <w:r>
              <w:rPr>
                <w:rFonts w:hint="eastAsia"/>
                <w:u w:val="single"/>
              </w:rPr>
              <w:t>加工中心、数控车床、磨床、钻床等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游标卡尺、内径百分表</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零部件</w:t>
                  </w:r>
                </w:p>
              </w:tc>
              <w:tc>
                <w:tcPr>
                  <w:tcW w:w="3665" w:type="dxa"/>
                </w:tcPr>
                <w:p>
                  <w:pPr>
                    <w:shd w:val="clear" w:color="auto" w:fill="C7DAF1" w:themeFill="text2" w:themeFillTint="32"/>
                    <w:jc w:val="left"/>
                  </w:pPr>
                  <w:r>
                    <w:rPr>
                      <w:rFonts w:hint="eastAsia"/>
                      <w:lang w:val="en-US" w:eastAsia="zh-CN"/>
                    </w:rPr>
                    <w:t>精加工</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44022B"/>
    <w:rsid w:val="1B7437F9"/>
    <w:rsid w:val="395E3DBA"/>
    <w:rsid w:val="56617A22"/>
    <w:rsid w:val="580A2EF6"/>
    <w:rsid w:val="687E5B8B"/>
    <w:rsid w:val="721B57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2022-03-17T01:17:58Z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