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浩联保温管业有限公司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Arial" w:hAnsi="Arial" w:eastAsia="宋体" w:cs="Arial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1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bookmarkEnd w:id="1"/>
            <w:r>
              <w:rPr>
                <w:rFonts w:hint="eastAsia" w:cs="宋体"/>
                <w:b/>
                <w:szCs w:val="21"/>
                <w:lang w:val="en-US" w:eastAsia="zh-CN"/>
              </w:rPr>
              <w:t xml:space="preserve"> </w:t>
            </w:r>
          </w:p>
          <w:p>
            <w:bookmarkStart w:id="2" w:name="初审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3" w:name="再认证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rFonts w:hint="eastAsia"/>
                <w:b/>
                <w:szCs w:val="21"/>
              </w:rPr>
              <w:t>再认证</w:t>
            </w:r>
            <w:bookmarkStart w:id="4" w:name="监督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监督（</w:t>
            </w:r>
            <w:bookmarkStart w:id="5" w:name="监督次数"/>
            <w:bookmarkEnd w:id="5"/>
            <w:r>
              <w:rPr>
                <w:rFonts w:hint="eastAsia"/>
                <w:b/>
                <w:szCs w:val="21"/>
              </w:rPr>
              <w:t>）次□证书转换</w:t>
            </w:r>
            <w:bookmarkStart w:id="6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考虑企业电力作为主要能源使用，建议设立总电量的指标更加简明，且易控。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建议设立总电量作为能源绩效参数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主要用能设备的电表未安装，不符合GB17167标准的要求。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未考虑叉车使用的柴油消耗，建议在今后的能源分析中予以考虑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查办公室提供的《适用国家法律法规及其他要求评价表(能源）》，未能将标准GB∕T 36713-2018《 能源管理体系 能源基准和能源绩效参数》进行识别与收集。</w:t>
            </w:r>
            <w:bookmarkStart w:id="7" w:name="_GoBack"/>
            <w:bookmarkEnd w:id="7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现场已整改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一级能源计量器具，未能提供电表、水表检定证据。建议与相关部门沟通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97EF1"/>
    <w:rsid w:val="41C64958"/>
    <w:rsid w:val="56781E06"/>
    <w:rsid w:val="75706337"/>
    <w:rsid w:val="76553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2022-03-22T08:54:02Z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