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0176-2022-EO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重庆森利低温设备有限公司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重庆森利低温设备有限公司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重庆市沙坪坝区井口工业园区井华路8号</w:t>
            </w:r>
            <w:bookmarkEnd w:id="6"/>
          </w:p>
        </w:tc>
        <w:tc>
          <w:tcPr>
            <w:tcW w:w="1242" w:type="dxa"/>
            <w:vMerge w:val="restart"/>
            <w:vAlign w:val="center"/>
          </w:tcPr>
          <w:p>
            <w:r>
              <w:rPr>
                <w:rFonts w:hint="eastAsia"/>
              </w:rPr>
              <w:t>邮编</w:t>
            </w:r>
          </w:p>
        </w:tc>
        <w:tc>
          <w:tcPr>
            <w:tcW w:w="1771" w:type="dxa"/>
          </w:tcPr>
          <w:p>
            <w:bookmarkStart w:id="7" w:name="注册邮编"/>
            <w:r>
              <w:t>400033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重庆市沙坪坝区井口工业园区井华路8号</w:t>
            </w:r>
            <w:bookmarkEnd w:id="8"/>
          </w:p>
        </w:tc>
        <w:tc>
          <w:tcPr>
            <w:tcW w:w="1242" w:type="dxa"/>
            <w:vMerge w:val="continue"/>
            <w:vAlign w:val="center"/>
          </w:tcPr>
          <w:p/>
        </w:tc>
        <w:tc>
          <w:tcPr>
            <w:tcW w:w="1771" w:type="dxa"/>
          </w:tcPr>
          <w:p>
            <w:bookmarkStart w:id="9" w:name="办公邮编"/>
            <w:r>
              <w:t>400033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雷林林</w:t>
            </w:r>
            <w:bookmarkEnd w:id="10"/>
          </w:p>
        </w:tc>
        <w:tc>
          <w:tcPr>
            <w:tcW w:w="1313" w:type="dxa"/>
            <w:vAlign w:val="center"/>
          </w:tcPr>
          <w:p>
            <w:r>
              <w:rPr>
                <w:rFonts w:hint="eastAsia"/>
              </w:rPr>
              <w:t>电话.</w:t>
            </w:r>
          </w:p>
        </w:tc>
        <w:tc>
          <w:tcPr>
            <w:tcW w:w="2180" w:type="dxa"/>
            <w:vAlign w:val="center"/>
          </w:tcPr>
          <w:p>
            <w:bookmarkStart w:id="11" w:name="联系人电话"/>
            <w:r>
              <w:t>13629798627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雷林林</w:t>
            </w:r>
            <w:bookmarkEnd w:id="13"/>
          </w:p>
        </w:tc>
        <w:tc>
          <w:tcPr>
            <w:tcW w:w="1313" w:type="dxa"/>
            <w:vAlign w:val="center"/>
          </w:tcPr>
          <w:p>
            <w:r>
              <w:rPr>
                <w:rFonts w:hint="eastAsia"/>
              </w:rPr>
              <w:t>管理者代表</w:t>
            </w:r>
          </w:p>
        </w:tc>
        <w:tc>
          <w:tcPr>
            <w:tcW w:w="2180" w:type="dxa"/>
          </w:tcPr>
          <w:p>
            <w:bookmarkStart w:id="14" w:name="管理者代表"/>
            <w:r>
              <w:t>王玲</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ascii="宋体" w:hAnsi="宋体"/>
                <w:b/>
                <w:bCs/>
                <w:sz w:val="20"/>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rPr>
                <w:highlight w:val="none"/>
              </w:rPr>
            </w:pPr>
            <w:r>
              <w:rPr>
                <w:rFonts w:hint="eastAsia"/>
                <w:highlight w:val="none"/>
              </w:rPr>
              <w:t>生产/服务提供流程简图</w:t>
            </w:r>
          </w:p>
          <w:p>
            <w:pPr>
              <w:rPr>
                <w:highlight w:val="none"/>
              </w:rPr>
            </w:pPr>
          </w:p>
          <w:p>
            <w:pPr>
              <w:rPr>
                <w:rFonts w:ascii="Times New Roman" w:hAnsi="Times New Roman" w:eastAsia="宋体" w:cs="Times New Roman"/>
                <w:kern w:val="2"/>
                <w:sz w:val="21"/>
                <w:szCs w:val="24"/>
                <w:highlight w:val="none"/>
                <w:lang w:val="en-US" w:eastAsia="zh-CN" w:bidi="ar-SA"/>
              </w:rPr>
            </w:pPr>
          </w:p>
        </w:tc>
        <w:tc>
          <w:tcPr>
            <w:tcW w:w="8058" w:type="dxa"/>
            <w:gridSpan w:val="5"/>
            <w:shd w:val="clear" w:color="auto" w:fill="auto"/>
            <w:vAlign w:val="top"/>
          </w:tcPr>
          <w:p>
            <w:pPr>
              <w:tabs>
                <w:tab w:val="left" w:pos="2385"/>
              </w:tabs>
              <w:spacing w:line="360" w:lineRule="auto"/>
              <w:rPr>
                <w:rFonts w:hint="eastAsia" w:ascii="宋体" w:hAnsi="宋体"/>
                <w:color w:val="000000"/>
                <w:szCs w:val="21"/>
                <w:highlight w:val="none"/>
                <w:lang w:val="en-US" w:eastAsia="zh-CN"/>
              </w:rPr>
            </w:pPr>
            <w:r>
              <w:rPr>
                <w:rFonts w:hint="eastAsia" w:ascii="宋体" w:hAnsi="宋体"/>
                <w:color w:val="000000"/>
                <w:szCs w:val="21"/>
                <w:highlight w:val="none"/>
              </w:rPr>
              <w:t>服务提供流程</w:t>
            </w:r>
            <w:r>
              <w:rPr>
                <w:rFonts w:hint="eastAsia" w:ascii="宋体" w:hAnsi="宋体"/>
                <w:color w:val="000000"/>
                <w:szCs w:val="21"/>
                <w:highlight w:val="none"/>
                <w:lang w:val="en-US" w:eastAsia="zh-CN"/>
              </w:rPr>
              <w:t>:</w:t>
            </w:r>
          </w:p>
          <w:p>
            <w:pPr>
              <w:rPr>
                <w:rFonts w:ascii="Times New Roman" w:hAnsi="Times New Roman" w:eastAsia="宋体" w:cs="Times New Roman"/>
                <w:kern w:val="2"/>
                <w:sz w:val="21"/>
                <w:szCs w:val="24"/>
                <w:highlight w:val="none"/>
                <w:lang w:val="en-US" w:eastAsia="zh-CN" w:bidi="ar-SA"/>
              </w:rPr>
            </w:pPr>
            <w:r>
              <w:rPr>
                <w:rFonts w:hint="eastAsia" w:ascii="宋体" w:hAnsi="宋体" w:eastAsia="宋体" w:cs="宋体"/>
                <w:bCs/>
                <w:color w:val="auto"/>
                <w:sz w:val="21"/>
                <w:szCs w:val="21"/>
                <w:highlight w:val="none"/>
              </w:rPr>
              <w:t>联系客户—业务洽谈—合同签订—产品销售—客户签收—售后服务</w:t>
            </w:r>
            <w:r>
              <w:rPr>
                <w:rFonts w:hint="eastAsia" w:ascii="宋体" w:hAnsi="宋体" w:eastAsia="宋体" w:cs="宋体"/>
                <w:color w:val="auto"/>
                <w:sz w:val="21"/>
                <w:szCs w:val="21"/>
                <w:highlight w:val="none"/>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2022年03月15日 上午至2022年03月15日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b/>
                <w:bCs/>
                <w:sz w:val="20"/>
              </w:rPr>
              <w:t>■</w:t>
            </w:r>
            <w:r>
              <w:rPr>
                <w:rFonts w:hint="eastAsia"/>
                <w:lang w:val="de-DE"/>
              </w:rPr>
              <w:t>受审核方</w:t>
            </w:r>
            <w:r>
              <w:rPr>
                <w:rFonts w:hint="eastAsia"/>
              </w:rPr>
              <w:t>管理体系成文信息</w:t>
            </w:r>
            <w:r>
              <w:rPr>
                <w:rFonts w:hint="eastAsia" w:ascii="宋体" w:hAnsi="宋体"/>
                <w:b/>
                <w:bCs/>
                <w:sz w:val="20"/>
              </w:rPr>
              <w:t>■</w:t>
            </w:r>
            <w:r>
              <w:rPr>
                <w:rFonts w:hint="eastAsia"/>
              </w:rPr>
              <w:t>顾客要求</w:t>
            </w:r>
          </w:p>
          <w:p>
            <w:r>
              <w:rPr>
                <w:rFonts w:hint="eastAsia" w:ascii="宋体" w:hAnsi="宋体"/>
                <w:b/>
                <w:bCs/>
                <w:sz w:val="20"/>
              </w:rPr>
              <w:t>■</w:t>
            </w:r>
            <w:r>
              <w:rPr>
                <w:rFonts w:hint="eastAsia"/>
                <w:lang w:val="de-DE"/>
              </w:rPr>
              <w:t>适用于受审核方的法律法规及其他要求</w:t>
            </w:r>
            <w:r>
              <w:rPr>
                <w:rFonts w:hint="eastAsia" w:ascii="宋体" w:hAnsi="宋体"/>
                <w:b/>
                <w:bCs/>
                <w:sz w:val="20"/>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ascii="宋体" w:hAnsi="宋体"/>
                <w:b/>
                <w:bCs/>
                <w:sz w:val="20"/>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b/>
                <w:bCs/>
                <w:sz w:val="2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color w:val="0000FF"/>
              </w:rPr>
              <w:t>重庆市沙坪坝区井口工业园区井华路8号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E：低温常压储槽设备、一体化水处理设备、通用非标常压设备的销售所涉及场所的相关环境管理活动</w:t>
            </w:r>
          </w:p>
          <w:p>
            <w:r>
              <w:t>O：低温常压储槽设备、一体化水处理设备、通用非标常压设备的销售所涉及场所的相关职业健康安全管理活动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E：29.10.07</w:t>
            </w:r>
          </w:p>
          <w:p>
            <w:r>
              <w:t>O：29.10.07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体系文件实施时间</w:t>
            </w:r>
          </w:p>
        </w:tc>
        <w:tc>
          <w:tcPr>
            <w:tcW w:w="2733" w:type="dxa"/>
          </w:tcPr>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2021年11月1日</w:t>
            </w:r>
          </w:p>
        </w:tc>
        <w:tc>
          <w:tcPr>
            <w:tcW w:w="1883"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管理体系运行已超过3个月</w:t>
            </w:r>
          </w:p>
        </w:tc>
        <w:tc>
          <w:tcPr>
            <w:tcW w:w="3215" w:type="dxa"/>
            <w:vAlign w:val="center"/>
          </w:tcPr>
          <w:p>
            <w:r>
              <w:rPr>
                <w:rFonts w:hint="eastAsia" w:ascii="宋体" w:hAnsi="宋体"/>
                <w:b/>
                <w:bCs/>
                <w:sz w:val="20"/>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上次审核时间</w:t>
            </w:r>
          </w:p>
        </w:tc>
        <w:tc>
          <w:tcPr>
            <w:tcW w:w="2733"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年月日</w:t>
            </w:r>
          </w:p>
        </w:tc>
        <w:tc>
          <w:tcPr>
            <w:tcW w:w="1883"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认证证书有效期</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39"/>
        <w:gridCol w:w="500"/>
        <w:gridCol w:w="3070"/>
        <w:gridCol w:w="12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场所编号</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(分证书序号）</w:t>
            </w:r>
          </w:p>
        </w:tc>
        <w:tc>
          <w:tcPr>
            <w:tcW w:w="2267" w:type="dxa"/>
            <w:shd w:val="clear" w:color="auto" w:fill="F3F3F3"/>
            <w:tcMar>
              <w:left w:w="57" w:type="dxa"/>
              <w:right w:w="57" w:type="dxa"/>
            </w:tcMa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组织名称及注册场所地址</w:t>
            </w:r>
          </w:p>
        </w:tc>
        <w:tc>
          <w:tcPr>
            <w:tcW w:w="1539" w:type="dxa"/>
            <w:shd w:val="clear" w:color="auto" w:fill="F3F3F3"/>
            <w:tcMar>
              <w:left w:w="57" w:type="dxa"/>
              <w:right w:w="57" w:type="dxa"/>
            </w:tcMa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经营场所的地址</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（多现场和临时现场）</w:t>
            </w:r>
          </w:p>
        </w:tc>
        <w:tc>
          <w:tcPr>
            <w:tcW w:w="500" w:type="dxa"/>
            <w:shd w:val="clear" w:color="auto" w:fill="F3F3F3"/>
            <w:tcMar>
              <w:left w:w="57" w:type="dxa"/>
              <w:right w:w="57" w:type="dxa"/>
            </w:tcMa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员工人数</w:t>
            </w:r>
          </w:p>
        </w:tc>
        <w:tc>
          <w:tcPr>
            <w:tcW w:w="3070" w:type="dxa"/>
            <w:shd w:val="clear" w:color="auto" w:fill="F3F3F3"/>
            <w:tcMar>
              <w:left w:w="57" w:type="dxa"/>
              <w:right w:w="57" w:type="dxa"/>
            </w:tcMa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审核范围（产品和过程）</w:t>
            </w:r>
          </w:p>
          <w:p>
            <w:pPr>
              <w:rPr>
                <w:color w:val="000000" w:themeColor="text1"/>
                <w14:textFill>
                  <w14:solidFill>
                    <w14:schemeClr w14:val="tx1"/>
                  </w14:solidFill>
                </w14:textFill>
              </w:rPr>
            </w:pPr>
          </w:p>
          <w:p>
            <w:pPr>
              <w:rPr>
                <w:color w:val="000000" w:themeColor="text1"/>
                <w14:textFill>
                  <w14:solidFill>
                    <w14:schemeClr w14:val="tx1"/>
                  </w14:solidFill>
                </w14:textFill>
              </w:rPr>
            </w:pPr>
          </w:p>
        </w:tc>
        <w:tc>
          <w:tcPr>
            <w:tcW w:w="1201" w:type="dxa"/>
            <w:shd w:val="clear" w:color="auto" w:fill="F3F3F3"/>
            <w:tcMar>
              <w:left w:w="57" w:type="dxa"/>
              <w:right w:w="57" w:type="dxa"/>
            </w:tcMa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标准</w:t>
            </w:r>
          </w:p>
        </w:tc>
        <w:tc>
          <w:tcPr>
            <w:tcW w:w="668" w:type="dxa"/>
            <w:tcBorders>
              <w:bottom w:val="single" w:color="auto" w:sz="4" w:space="0"/>
            </w:tcBorders>
            <w:shd w:val="clear" w:color="auto" w:fill="F3F3F3"/>
            <w:tcMar>
              <w:left w:w="57" w:type="dxa"/>
              <w:right w:w="57" w:type="dxa"/>
            </w:tcMa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color w:val="000000" w:themeColor="text1"/>
                <w:lang w:eastAsia="ja-JP"/>
                <w14:textFill>
                  <w14:solidFill>
                    <w14:schemeClr w14:val="tx1"/>
                  </w14:solidFill>
                </w14:textFill>
              </w:rPr>
            </w:pPr>
            <w:r>
              <w:rPr>
                <w:rFonts w:hint="eastAsia"/>
                <w:color w:val="000000" w:themeColor="text1"/>
                <w:lang w:eastAsia="ja-JP"/>
                <w14:textFill>
                  <w14:solidFill>
                    <w14:schemeClr w14:val="tx1"/>
                  </w14:solidFill>
                </w14:textFill>
              </w:rPr>
              <w:t>01</w:t>
            </w:r>
          </w:p>
        </w:tc>
        <w:tc>
          <w:tcPr>
            <w:tcW w:w="2267" w:type="dxa"/>
            <w:vAlign w:val="top"/>
          </w:tcPr>
          <w:p>
            <w:pPr>
              <w:spacing w:before="40" w:after="40"/>
              <w:rPr>
                <w:rFonts w:ascii="Times New Roman" w:hAnsi="Times New Roman" w:eastAsia="宋体" w:cs="Times New Roman"/>
                <w:color w:val="000000" w:themeColor="text1"/>
                <w:kern w:val="2"/>
                <w:sz w:val="21"/>
                <w:szCs w:val="21"/>
                <w:lang w:val="de-DE" w:eastAsia="ja-JP"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重庆森利低温设备有限公司</w:t>
            </w:r>
            <w:r>
              <w:rPr>
                <w:rFonts w:hint="eastAsia"/>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重庆市沙坪坝区井口工业园区井华路8号</w:t>
            </w:r>
          </w:p>
        </w:tc>
        <w:tc>
          <w:tcPr>
            <w:tcW w:w="1539" w:type="dxa"/>
            <w:vAlign w:val="top"/>
          </w:tcPr>
          <w:p>
            <w:pPr>
              <w:spacing w:before="40" w:after="40"/>
              <w:rPr>
                <w:rFonts w:ascii="Times New Roman" w:hAnsi="Times New Roman" w:eastAsia="黑体" w:cs="Times New Roman"/>
                <w:color w:val="000000" w:themeColor="text1"/>
                <w:kern w:val="2"/>
                <w:sz w:val="21"/>
                <w:szCs w:val="21"/>
                <w:lang w:val="de-DE" w:eastAsia="ja-JP"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重庆市沙坪坝区井口工业园区井华路8号</w:t>
            </w:r>
          </w:p>
        </w:tc>
        <w:tc>
          <w:tcPr>
            <w:tcW w:w="500" w:type="dxa"/>
            <w:vAlign w:val="center"/>
          </w:tcPr>
          <w:p>
            <w:pPr>
              <w:spacing w:before="40" w:after="40"/>
              <w:rPr>
                <w:rFonts w:ascii="Times New Roman" w:hAnsi="Times New Roman" w:eastAsia="黑体" w:cs="Times New Roman"/>
                <w:color w:val="000000" w:themeColor="text1"/>
                <w:kern w:val="2"/>
                <w:sz w:val="21"/>
                <w:szCs w:val="21"/>
                <w:lang w:val="en-US" w:eastAsia="ja-JP" w:bidi="ar-SA"/>
                <w14:textFill>
                  <w14:solidFill>
                    <w14:schemeClr w14:val="tx1"/>
                  </w14:solidFill>
                </w14:textFill>
              </w:rPr>
            </w:pPr>
            <w:r>
              <w:rPr>
                <w:rFonts w:hint="eastAsia" w:eastAsia="黑体"/>
                <w:color w:val="000000" w:themeColor="text1"/>
                <w:szCs w:val="21"/>
                <w14:textFill>
                  <w14:solidFill>
                    <w14:schemeClr w14:val="tx1"/>
                  </w14:solidFill>
                </w14:textFill>
              </w:rPr>
              <w:t>10</w:t>
            </w:r>
          </w:p>
        </w:tc>
        <w:tc>
          <w:tcPr>
            <w:tcW w:w="3070" w:type="dxa"/>
            <w:vAlign w:val="center"/>
          </w:tcPr>
          <w:p>
            <w:pPr>
              <w:rPr>
                <w:rFonts w:ascii="Times New Roman" w:hAnsi="Times New Roman" w:eastAsia="黑体" w:cs="Arial"/>
                <w:color w:val="000000" w:themeColor="text1"/>
                <w:kern w:val="2"/>
                <w:sz w:val="21"/>
                <w:szCs w:val="21"/>
                <w:lang w:val="en-US" w:eastAsia="ja-JP"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低温常压储槽设备、一体化水处理设备、通用非标常压设备的销售所涉及场所的相关环境管理活动</w:t>
            </w:r>
          </w:p>
        </w:tc>
        <w:tc>
          <w:tcPr>
            <w:tcW w:w="1201" w:type="dxa"/>
            <w:vAlign w:val="top"/>
          </w:tcPr>
          <w:p>
            <w:pPr>
              <w:spacing w:before="40" w:after="4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GB/T24001-2016</w:t>
            </w:r>
          </w:p>
          <w:p>
            <w:pPr>
              <w:rPr>
                <w:rFonts w:ascii="Times New Roman" w:hAnsi="Times New Roman" w:eastAsia="黑体" w:cs="Times New Roman"/>
                <w:bCs/>
                <w:color w:val="000000" w:themeColor="text1"/>
                <w:kern w:val="2"/>
                <w:sz w:val="21"/>
                <w:szCs w:val="21"/>
                <w:lang w:val="en-US" w:eastAsia="ja-JP" w:bidi="ar-SA"/>
                <w14:textFill>
                  <w14:solidFill>
                    <w14:schemeClr w14:val="tx1"/>
                  </w14:solidFill>
                </w14:textFill>
              </w:rPr>
            </w:pPr>
          </w:p>
        </w:tc>
        <w:tc>
          <w:tcPr>
            <w:tcW w:w="668" w:type="dxa"/>
            <w:shd w:val="clear" w:color="auto" w:fill="FFFFFF"/>
            <w:vAlign w:val="top"/>
          </w:tcPr>
          <w:p>
            <w:pPr>
              <w:rPr>
                <w:rFonts w:eastAsia="黑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pPr>
              <w:rPr>
                <w:rFonts w:ascii="Times New Roman" w:hAnsi="Times New Roman" w:eastAsia="黑体" w:cs="Times New Roman"/>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color w:val="000000" w:themeColor="text1"/>
                <w:lang w:eastAsia="ja-JP"/>
                <w14:textFill>
                  <w14:solidFill>
                    <w14:schemeClr w14:val="tx1"/>
                  </w14:solidFill>
                </w14:textFill>
              </w:rPr>
            </w:pPr>
            <w:r>
              <w:rPr>
                <w:rFonts w:hint="eastAsia"/>
                <w:color w:val="000000" w:themeColor="text1"/>
                <w:lang w:eastAsia="ja-JP"/>
                <w14:textFill>
                  <w14:solidFill>
                    <w14:schemeClr w14:val="tx1"/>
                  </w14:solidFill>
                </w14:textFill>
              </w:rPr>
              <w:t>02</w:t>
            </w:r>
          </w:p>
        </w:tc>
        <w:tc>
          <w:tcPr>
            <w:tcW w:w="2267" w:type="dxa"/>
            <w:vAlign w:val="top"/>
          </w:tcPr>
          <w:p>
            <w:pPr>
              <w:spacing w:before="40" w:after="40"/>
              <w:rPr>
                <w:rFonts w:ascii="Times New Roman" w:hAnsi="Times New Roman" w:eastAsia="宋体" w:cs="Times New Roman"/>
                <w:color w:val="000000" w:themeColor="text1"/>
                <w:kern w:val="2"/>
                <w:sz w:val="21"/>
                <w:szCs w:val="21"/>
                <w:lang w:val="de-DE" w:eastAsia="ja-JP"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重庆森利低温设备有限公司</w:t>
            </w:r>
            <w:r>
              <w:rPr>
                <w:rFonts w:hint="eastAsia"/>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重庆市沙坪坝区井口工业园区井华路8号</w:t>
            </w:r>
          </w:p>
        </w:tc>
        <w:tc>
          <w:tcPr>
            <w:tcW w:w="1539" w:type="dxa"/>
            <w:vAlign w:val="top"/>
          </w:tcPr>
          <w:p>
            <w:pPr>
              <w:spacing w:before="40" w:after="40"/>
              <w:rPr>
                <w:rFonts w:ascii="Times New Roman" w:hAnsi="Times New Roman" w:eastAsia="黑体" w:cs="Times New Roman"/>
                <w:color w:val="000000" w:themeColor="text1"/>
                <w:kern w:val="2"/>
                <w:sz w:val="21"/>
                <w:szCs w:val="21"/>
                <w:lang w:val="de-DE" w:eastAsia="ja-JP"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重庆市沙坪坝区井口工业园区井华路8号</w:t>
            </w:r>
          </w:p>
        </w:tc>
        <w:tc>
          <w:tcPr>
            <w:tcW w:w="500" w:type="dxa"/>
            <w:vAlign w:val="center"/>
          </w:tcPr>
          <w:p>
            <w:pPr>
              <w:spacing w:before="40" w:after="40"/>
              <w:rPr>
                <w:rFonts w:ascii="Times New Roman" w:hAnsi="Times New Roman" w:eastAsia="黑体" w:cs="Times New Roman"/>
                <w:color w:val="000000" w:themeColor="text1"/>
                <w:kern w:val="2"/>
                <w:sz w:val="21"/>
                <w:szCs w:val="21"/>
                <w:lang w:val="en-US" w:eastAsia="ja-JP" w:bidi="ar-SA"/>
                <w14:textFill>
                  <w14:solidFill>
                    <w14:schemeClr w14:val="tx1"/>
                  </w14:solidFill>
                </w14:textFill>
              </w:rPr>
            </w:pPr>
            <w:r>
              <w:rPr>
                <w:rFonts w:hint="eastAsia" w:eastAsia="黑体"/>
                <w:color w:val="000000" w:themeColor="text1"/>
                <w:szCs w:val="21"/>
                <w14:textFill>
                  <w14:solidFill>
                    <w14:schemeClr w14:val="tx1"/>
                  </w14:solidFill>
                </w14:textFill>
              </w:rPr>
              <w:t>10</w:t>
            </w:r>
          </w:p>
        </w:tc>
        <w:tc>
          <w:tcPr>
            <w:tcW w:w="3070" w:type="dxa"/>
            <w:vAlign w:val="center"/>
          </w:tcPr>
          <w:p>
            <w:pPr>
              <w:spacing w:before="40" w:after="40"/>
              <w:rPr>
                <w:rFonts w:ascii="Times New Roman" w:hAnsi="Times New Roman" w:eastAsia="黑体" w:cs="Times New Roman"/>
                <w:color w:val="000000" w:themeColor="text1"/>
                <w:kern w:val="2"/>
                <w:sz w:val="21"/>
                <w:szCs w:val="21"/>
                <w:lang w:val="en-US" w:eastAsia="ja-JP"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低温常压储槽设备、一体化水处理设备、通用非标常压设备的销售所涉及场所的相关职业健康安全管理活动</w:t>
            </w:r>
          </w:p>
        </w:tc>
        <w:tc>
          <w:tcPr>
            <w:tcW w:w="1201" w:type="dxa"/>
            <w:vAlign w:val="center"/>
          </w:tcPr>
          <w:p>
            <w:pPr>
              <w:spacing w:before="40" w:after="40"/>
              <w:rPr>
                <w:rFonts w:ascii="Times New Roman" w:hAnsi="Times New Roman" w:eastAsia="黑体" w:cs="Times New Roman"/>
                <w:color w:val="000000" w:themeColor="text1"/>
                <w:kern w:val="2"/>
                <w:sz w:val="21"/>
                <w:szCs w:val="21"/>
                <w:lang w:val="en-US" w:eastAsia="ja-JP" w:bidi="ar-SA"/>
                <w14:textFill>
                  <w14:solidFill>
                    <w14:schemeClr w14:val="tx1"/>
                  </w14:solidFill>
                </w14:textFill>
              </w:rPr>
            </w:pPr>
            <w:r>
              <w:rPr>
                <w:rFonts w:hint="eastAsia" w:ascii="宋体" w:hAnsi="宋体"/>
                <w:bCs/>
                <w:color w:val="000000" w:themeColor="text1"/>
                <w:szCs w:val="21"/>
                <w14:textFill>
                  <w14:solidFill>
                    <w14:schemeClr w14:val="tx1"/>
                  </w14:solidFill>
                </w14:textFill>
              </w:rPr>
              <w:t>GB/T 45001-2020</w:t>
            </w:r>
          </w:p>
        </w:tc>
        <w:tc>
          <w:tcPr>
            <w:tcW w:w="668" w:type="dxa"/>
            <w:shd w:val="clear" w:color="auto" w:fill="FFFFFF"/>
            <w:vAlign w:val="top"/>
          </w:tcPr>
          <w:sdt>
            <w:sdtPr>
              <w:rPr>
                <w:rFonts w:eastAsia="黑体"/>
                <w:color w:val="000000" w:themeColor="text1"/>
                <w:szCs w:val="21"/>
                <w14:textFill>
                  <w14:solidFill>
                    <w14:schemeClr w14:val="tx1"/>
                  </w14:solidFill>
                </w14:textFill>
              </w:rPr>
              <w:id w:val="1360237495"/>
            </w:sdtPr>
            <w:sdtEndPr>
              <w:rPr>
                <w:rFonts w:eastAsia="黑体"/>
                <w:color w:val="000000" w:themeColor="text1"/>
                <w:szCs w:val="21"/>
                <w14:textFill>
                  <w14:solidFill>
                    <w14:schemeClr w14:val="tx1"/>
                  </w14:solidFill>
                </w14:textFill>
              </w:rPr>
            </w:sdtEndPr>
            <w:sdtContent>
              <w:sdt>
                <w:sdtPr>
                  <w:rPr>
                    <w:rFonts w:eastAsia="黑体"/>
                    <w:color w:val="000000" w:themeColor="text1"/>
                    <w:szCs w:val="21"/>
                    <w14:textFill>
                      <w14:solidFill>
                        <w14:schemeClr w14:val="tx1"/>
                      </w14:solidFill>
                    </w14:textFill>
                  </w:rPr>
                  <w:id w:val="271604670"/>
                </w:sdtPr>
                <w:sdtEndPr>
                  <w:rPr>
                    <w:rFonts w:eastAsia="黑体"/>
                    <w:color w:val="000000" w:themeColor="text1"/>
                    <w:szCs w:val="21"/>
                    <w14:textFill>
                      <w14:solidFill>
                        <w14:schemeClr w14:val="tx1"/>
                      </w14:solidFill>
                    </w14:textFill>
                  </w:rPr>
                </w:sdtEndPr>
                <w:sdtContent>
                  <w:p>
                    <w:pPr>
                      <w:rPr>
                        <w:rFonts w:eastAsia="黑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sdtContent>
              </w:sdt>
              <w:p>
                <w:pPr>
                  <w:rPr>
                    <w:rFonts w:eastAsia="黑体"/>
                    <w:color w:val="000000" w:themeColor="text1"/>
                    <w:szCs w:val="21"/>
                    <w14:textFill>
                      <w14:solidFill>
                        <w14:schemeClr w14:val="tx1"/>
                      </w14:solidFill>
                    </w14:textFill>
                  </w:rPr>
                </w:pPr>
              </w:p>
            </w:sdtContent>
          </w:sdt>
          <w:p>
            <w:pPr>
              <w:rPr>
                <w:rFonts w:ascii="Times New Roman" w:hAnsi="Times New Roman" w:eastAsia="黑体" w:cs="Times New Roman"/>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color w:val="000000" w:themeColor="text1"/>
                <w:lang w:eastAsia="ja-JP"/>
                <w14:textFill>
                  <w14:solidFill>
                    <w14:schemeClr w14:val="tx1"/>
                  </w14:solidFill>
                </w14:textFill>
              </w:rPr>
            </w:pPr>
            <w:r>
              <w:rPr>
                <w:rFonts w:hint="eastAsia"/>
                <w:color w:val="000000" w:themeColor="text1"/>
                <w:lang w:eastAsia="ja-JP"/>
                <w14:textFill>
                  <w14:solidFill>
                    <w14:schemeClr w14:val="tx1"/>
                  </w14:solidFill>
                </w14:textFill>
              </w:rPr>
              <w:t>03</w:t>
            </w:r>
          </w:p>
        </w:tc>
        <w:tc>
          <w:tcPr>
            <w:tcW w:w="2267" w:type="dxa"/>
            <w:vAlign w:val="center"/>
          </w:tcPr>
          <w:p>
            <w:pPr>
              <w:rPr>
                <w:color w:val="000000" w:themeColor="text1"/>
                <w:lang w:eastAsia="ja-JP"/>
                <w14:textFill>
                  <w14:solidFill>
                    <w14:schemeClr w14:val="tx1"/>
                  </w14:solidFill>
                </w14:textFill>
              </w:rPr>
            </w:pPr>
          </w:p>
        </w:tc>
        <w:tc>
          <w:tcPr>
            <w:tcW w:w="1539" w:type="dxa"/>
            <w:vAlign w:val="center"/>
          </w:tcPr>
          <w:p>
            <w:pPr>
              <w:rPr>
                <w:color w:val="000000" w:themeColor="text1"/>
                <w:lang w:eastAsia="ja-JP"/>
                <w14:textFill>
                  <w14:solidFill>
                    <w14:schemeClr w14:val="tx1"/>
                  </w14:solidFill>
                </w14:textFill>
              </w:rPr>
            </w:pPr>
          </w:p>
        </w:tc>
        <w:tc>
          <w:tcPr>
            <w:tcW w:w="500" w:type="dxa"/>
            <w:vAlign w:val="center"/>
          </w:tcPr>
          <w:p>
            <w:pPr>
              <w:rPr>
                <w:color w:val="000000" w:themeColor="text1"/>
                <w:lang w:eastAsia="ja-JP"/>
                <w14:textFill>
                  <w14:solidFill>
                    <w14:schemeClr w14:val="tx1"/>
                  </w14:solidFill>
                </w14:textFill>
              </w:rPr>
            </w:pPr>
          </w:p>
        </w:tc>
        <w:tc>
          <w:tcPr>
            <w:tcW w:w="3070" w:type="dxa"/>
            <w:vAlign w:val="center"/>
          </w:tcPr>
          <w:p>
            <w:pPr>
              <w:rPr>
                <w:color w:val="000000" w:themeColor="text1"/>
                <w:lang w:eastAsia="ja-JP"/>
                <w14:textFill>
                  <w14:solidFill>
                    <w14:schemeClr w14:val="tx1"/>
                  </w14:solidFill>
                </w14:textFill>
              </w:rPr>
            </w:pPr>
          </w:p>
        </w:tc>
        <w:tc>
          <w:tcPr>
            <w:tcW w:w="1201" w:type="dxa"/>
            <w:vAlign w:val="center"/>
          </w:tcPr>
          <w:p>
            <w:pPr>
              <w:rPr>
                <w:color w:val="000000" w:themeColor="text1"/>
                <w:lang w:eastAsia="ja-JP"/>
                <w14:textFill>
                  <w14:solidFill>
                    <w14:schemeClr w14:val="tx1"/>
                  </w14:solidFill>
                </w14:textFill>
              </w:rPr>
            </w:pPr>
          </w:p>
        </w:tc>
        <w:tc>
          <w:tcPr>
            <w:tcW w:w="668" w:type="dxa"/>
            <w:shd w:val="clear" w:color="auto" w:fill="FFFFFF"/>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color w:val="000000" w:themeColor="text1"/>
                <w:lang w:eastAsia="ja-JP"/>
                <w14:textFill>
                  <w14:solidFill>
                    <w14:schemeClr w14:val="tx1"/>
                  </w14:solidFill>
                </w14:textFill>
              </w:rPr>
            </w:pPr>
            <w:r>
              <w:rPr>
                <w:rFonts w:hint="eastAsia"/>
                <w:color w:val="000000" w:themeColor="text1"/>
                <w:lang w:eastAsia="ja-JP"/>
                <w14:textFill>
                  <w14:solidFill>
                    <w14:schemeClr w14:val="tx1"/>
                  </w14:solidFill>
                </w14:textFill>
              </w:rPr>
              <w:t>04</w:t>
            </w:r>
          </w:p>
        </w:tc>
        <w:tc>
          <w:tcPr>
            <w:tcW w:w="2267" w:type="dxa"/>
            <w:vAlign w:val="center"/>
          </w:tcPr>
          <w:p>
            <w:pPr>
              <w:rPr>
                <w:color w:val="000000" w:themeColor="text1"/>
                <w:lang w:eastAsia="ja-JP"/>
                <w14:textFill>
                  <w14:solidFill>
                    <w14:schemeClr w14:val="tx1"/>
                  </w14:solidFill>
                </w14:textFill>
              </w:rPr>
            </w:pPr>
          </w:p>
        </w:tc>
        <w:tc>
          <w:tcPr>
            <w:tcW w:w="1539" w:type="dxa"/>
            <w:vAlign w:val="center"/>
          </w:tcPr>
          <w:p>
            <w:pPr>
              <w:rPr>
                <w:color w:val="000000" w:themeColor="text1"/>
                <w:lang w:eastAsia="ja-JP"/>
                <w14:textFill>
                  <w14:solidFill>
                    <w14:schemeClr w14:val="tx1"/>
                  </w14:solidFill>
                </w14:textFill>
              </w:rPr>
            </w:pPr>
          </w:p>
        </w:tc>
        <w:tc>
          <w:tcPr>
            <w:tcW w:w="500" w:type="dxa"/>
            <w:vAlign w:val="center"/>
          </w:tcPr>
          <w:p>
            <w:pPr>
              <w:rPr>
                <w:color w:val="000000" w:themeColor="text1"/>
                <w:lang w:eastAsia="ja-JP"/>
                <w14:textFill>
                  <w14:solidFill>
                    <w14:schemeClr w14:val="tx1"/>
                  </w14:solidFill>
                </w14:textFill>
              </w:rPr>
            </w:pPr>
          </w:p>
        </w:tc>
        <w:tc>
          <w:tcPr>
            <w:tcW w:w="3070" w:type="dxa"/>
            <w:vAlign w:val="center"/>
          </w:tcPr>
          <w:p>
            <w:pPr>
              <w:rPr>
                <w:color w:val="000000" w:themeColor="text1"/>
                <w:lang w:eastAsia="ja-JP"/>
                <w14:textFill>
                  <w14:solidFill>
                    <w14:schemeClr w14:val="tx1"/>
                  </w14:solidFill>
                </w14:textFill>
              </w:rPr>
            </w:pPr>
          </w:p>
        </w:tc>
        <w:tc>
          <w:tcPr>
            <w:tcW w:w="1201" w:type="dxa"/>
            <w:vAlign w:val="center"/>
          </w:tcPr>
          <w:p>
            <w:pPr>
              <w:rPr>
                <w:color w:val="000000" w:themeColor="text1"/>
                <w:lang w:eastAsia="ja-JP"/>
                <w14:textFill>
                  <w14:solidFill>
                    <w14:schemeClr w14:val="tx1"/>
                  </w14:solidFill>
                </w14:textFill>
              </w:rPr>
            </w:pPr>
          </w:p>
        </w:tc>
        <w:tc>
          <w:tcPr>
            <w:tcW w:w="668" w:type="dxa"/>
            <w:shd w:val="clear" w:color="auto" w:fill="FFFFFF"/>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color w:val="000000" w:themeColor="text1"/>
                <w:lang w:eastAsia="ja-JP"/>
                <w14:textFill>
                  <w14:solidFill>
                    <w14:schemeClr w14:val="tx1"/>
                  </w14:solidFill>
                </w14:textFill>
              </w:rPr>
            </w:pPr>
            <w:r>
              <w:rPr>
                <w:rFonts w:hint="eastAsia"/>
                <w:color w:val="000000" w:themeColor="text1"/>
                <w:lang w:eastAsia="ja-JP"/>
                <w14:textFill>
                  <w14:solidFill>
                    <w14:schemeClr w14:val="tx1"/>
                  </w14:solidFill>
                </w14:textFill>
              </w:rPr>
              <w:t>05</w:t>
            </w:r>
          </w:p>
        </w:tc>
        <w:tc>
          <w:tcPr>
            <w:tcW w:w="2267" w:type="dxa"/>
            <w:vAlign w:val="center"/>
          </w:tcPr>
          <w:p>
            <w:pPr>
              <w:rPr>
                <w:color w:val="000000" w:themeColor="text1"/>
                <w:lang w:eastAsia="ja-JP"/>
                <w14:textFill>
                  <w14:solidFill>
                    <w14:schemeClr w14:val="tx1"/>
                  </w14:solidFill>
                </w14:textFill>
              </w:rPr>
            </w:pPr>
          </w:p>
        </w:tc>
        <w:tc>
          <w:tcPr>
            <w:tcW w:w="1539" w:type="dxa"/>
            <w:vAlign w:val="center"/>
          </w:tcPr>
          <w:p>
            <w:pPr>
              <w:rPr>
                <w:color w:val="000000" w:themeColor="text1"/>
                <w:lang w:eastAsia="ja-JP"/>
                <w14:textFill>
                  <w14:solidFill>
                    <w14:schemeClr w14:val="tx1"/>
                  </w14:solidFill>
                </w14:textFill>
              </w:rPr>
            </w:pPr>
          </w:p>
        </w:tc>
        <w:tc>
          <w:tcPr>
            <w:tcW w:w="500" w:type="dxa"/>
            <w:vAlign w:val="center"/>
          </w:tcPr>
          <w:p>
            <w:pPr>
              <w:rPr>
                <w:color w:val="000000" w:themeColor="text1"/>
                <w:lang w:eastAsia="ja-JP"/>
                <w14:textFill>
                  <w14:solidFill>
                    <w14:schemeClr w14:val="tx1"/>
                  </w14:solidFill>
                </w14:textFill>
              </w:rPr>
            </w:pPr>
          </w:p>
        </w:tc>
        <w:tc>
          <w:tcPr>
            <w:tcW w:w="3070" w:type="dxa"/>
            <w:vAlign w:val="center"/>
          </w:tcPr>
          <w:p>
            <w:pPr>
              <w:rPr>
                <w:color w:val="000000" w:themeColor="text1"/>
                <w:lang w:eastAsia="ja-JP"/>
                <w14:textFill>
                  <w14:solidFill>
                    <w14:schemeClr w14:val="tx1"/>
                  </w14:solidFill>
                </w14:textFill>
              </w:rPr>
            </w:pPr>
          </w:p>
        </w:tc>
        <w:tc>
          <w:tcPr>
            <w:tcW w:w="1201" w:type="dxa"/>
            <w:vAlign w:val="center"/>
          </w:tcPr>
          <w:p>
            <w:pPr>
              <w:rPr>
                <w:color w:val="000000" w:themeColor="text1"/>
                <w:lang w:eastAsia="ja-JP"/>
                <w14:textFill>
                  <w14:solidFill>
                    <w14:schemeClr w14:val="tx1"/>
                  </w14:solidFill>
                </w14:textFill>
              </w:rPr>
            </w:pPr>
          </w:p>
        </w:tc>
        <w:tc>
          <w:tcPr>
            <w:tcW w:w="668" w:type="dxa"/>
            <w:shd w:val="clear" w:color="auto" w:fill="FFFFFF"/>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b/>
                <w:bCs/>
                <w:sz w:val="20"/>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2020-N1EMS-1267598</w:t>
            </w:r>
          </w:p>
          <w:p>
            <w:r>
              <w:t>2021-N1OHSMS-1267598</w:t>
            </w:r>
          </w:p>
        </w:tc>
        <w:tc>
          <w:tcPr>
            <w:tcW w:w="2179" w:type="dxa"/>
            <w:vAlign w:val="center"/>
          </w:tcPr>
          <w:p>
            <w:r>
              <w:t>E:29.10.07</w:t>
            </w:r>
          </w:p>
          <w:p>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r>
              <w:t>E:29.10.07</w:t>
            </w:r>
          </w:p>
          <w:p>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rPr>
                <w:rFonts w:ascii="Times New Roman" w:hAnsi="Times New Roman" w:eastAsia="黑体" w:cs="Arial"/>
                <w:kern w:val="2"/>
                <w:sz w:val="21"/>
                <w:szCs w:val="21"/>
                <w:lang w:val="en-US" w:eastAsia="ja-JP" w:bidi="ar-SA"/>
              </w:rPr>
            </w:pPr>
            <w:r>
              <w:rPr>
                <w:rFonts w:hint="eastAsia" w:ascii="宋体" w:hAnsi="宋体" w:cs="宋体"/>
                <w:color w:val="000000"/>
                <w:kern w:val="0"/>
                <w:szCs w:val="21"/>
              </w:rPr>
              <w:t>低温常压储槽设备、一体化水处理设备、通用非标常压设备的销售所涉及场所的相关环境管理活动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cs="宋体"/>
                <w:color w:val="000000"/>
                <w:kern w:val="0"/>
                <w:szCs w:val="21"/>
              </w:rPr>
              <w:t>低温常压储槽设备、一体化水处理设备、通用非标常压设备的销售所涉及场所的相关职业健康安全管理活动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cs="宋体" w:eastAsiaTheme="minorEastAsia"/>
                <w:sz w:val="24"/>
                <w:lang w:eastAsia="zh-CN"/>
              </w:rPr>
              <w:drawing>
                <wp:anchor distT="0" distB="0" distL="114300" distR="114300" simplePos="0" relativeHeight="251661312" behindDoc="0" locked="0" layoutInCell="1" allowOverlap="1">
                  <wp:simplePos x="0" y="0"/>
                  <wp:positionH relativeFrom="column">
                    <wp:posOffset>346710</wp:posOffset>
                  </wp:positionH>
                  <wp:positionV relativeFrom="paragraph">
                    <wp:posOffset>5080</wp:posOffset>
                  </wp:positionV>
                  <wp:extent cx="652145" cy="328930"/>
                  <wp:effectExtent l="0" t="0" r="8255" b="1270"/>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652145" cy="32893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b/>
                <w:sz w:val="20"/>
              </w:rPr>
              <w:t>2022年03月15日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 </w:t>
            </w:r>
            <w:r>
              <w:rPr>
                <w:rFonts w:hint="eastAsia" w:ascii="宋体" w:hAnsi="宋体" w:eastAsia="宋体" w:cs="宋体"/>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□工艺</w:t>
                  </w:r>
                  <w:r>
                    <w:rPr>
                      <w:rFonts w:hint="eastAsia"/>
                    </w:rPr>
                    <w:t xml:space="preserve">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hint="eastAsia" w:eastAsia="宋体"/>
                      <w:lang w:eastAsia="zh-CN"/>
                    </w:rPr>
                  </w:pPr>
                  <w:r>
                    <w:rPr>
                      <w:rFonts w:hint="eastAsia"/>
                      <w:lang w:eastAsia="zh-CN"/>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rFonts w:ascii="Times New Roman" w:hAnsi="Times New Roman" w:eastAsia="宋体" w:cs="Times New Roman"/>
                <w:kern w:val="2"/>
                <w:sz w:val="21"/>
                <w:szCs w:val="24"/>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highlight w:val="none"/>
              </w:rPr>
            </w:pPr>
            <w:r>
              <w:rPr>
                <w:rFonts w:hint="eastAsia"/>
              </w:rPr>
              <w:t>已将环境管理体系要求融入到其各项业务过程中，包括</w:t>
            </w:r>
            <w:r>
              <w:rPr>
                <w:rFonts w:hint="eastAsia"/>
                <w:highlight w:val="none"/>
              </w:rPr>
              <w:t>：</w:t>
            </w:r>
          </w:p>
          <w:p>
            <w:pPr>
              <w:shd w:val="clear" w:color="auto" w:fill="EBF1DE" w:themeFill="accent3" w:themeFillTint="32"/>
              <w:spacing w:before="40" w:after="40"/>
              <w:rPr>
                <w:highlight w:val="none"/>
              </w:rPr>
            </w:pPr>
            <w:r>
              <w:rPr>
                <w:rFonts w:hint="eastAsia"/>
                <w:highlight w:val="none"/>
              </w:rPr>
              <w:t xml:space="preserve">□设计和开发 </w:t>
            </w:r>
            <w:r>
              <w:rPr>
                <w:rFonts w:hint="eastAsia"/>
                <w:highlight w:val="none"/>
                <w:lang w:eastAsia="zh-CN"/>
              </w:rPr>
              <w:t>■</w:t>
            </w:r>
            <w:r>
              <w:rPr>
                <w:rFonts w:hint="eastAsia"/>
                <w:highlight w:val="none"/>
              </w:rPr>
              <w:t xml:space="preserve">采购 </w:t>
            </w:r>
            <w:r>
              <w:rPr>
                <w:rFonts w:hint="eastAsia"/>
                <w:highlight w:val="none"/>
                <w:lang w:eastAsia="zh-CN"/>
              </w:rPr>
              <w:t>■</w:t>
            </w:r>
            <w:r>
              <w:rPr>
                <w:rFonts w:hint="eastAsia"/>
                <w:highlight w:val="none"/>
              </w:rPr>
              <w:t>人力资源</w:t>
            </w:r>
            <w:r>
              <w:rPr>
                <w:rFonts w:hint="eastAsia"/>
                <w:highlight w:val="none"/>
                <w:lang w:eastAsia="zh-CN"/>
              </w:rPr>
              <w:t>■</w:t>
            </w:r>
            <w:r>
              <w:rPr>
                <w:rFonts w:hint="eastAsia"/>
                <w:highlight w:val="none"/>
              </w:rPr>
              <w:t xml:space="preserve">营销和市场  □生产 □检验 </w:t>
            </w:r>
            <w:r>
              <w:rPr>
                <w:rFonts w:hint="eastAsia" w:ascii="宋体" w:hAnsi="宋体" w:cs="宋体"/>
                <w:highlight w:val="none"/>
                <w:lang w:eastAsia="zh-CN"/>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pacing w:line="360" w:lineRule="auto"/>
              <w:jc w:val="both"/>
              <w:rPr>
                <w:highlight w:val="red"/>
                <w:u w:val="single"/>
              </w:rPr>
            </w:pPr>
            <w:r>
              <w:rPr>
                <w:rFonts w:hint="eastAsia"/>
              </w:rPr>
              <w:t>最高管理者制定了文件化的管理体</w:t>
            </w:r>
            <w:r>
              <w:rPr>
                <w:rFonts w:hint="eastAsia"/>
                <w:highlight w:val="none"/>
              </w:rPr>
              <w:t>系方针：</w:t>
            </w:r>
            <w:r>
              <w:rPr>
                <w:rFonts w:hint="eastAsia" w:ascii="宋体" w:hAnsi="宋体" w:cs="宋体"/>
                <w:highlight w:val="none"/>
                <w:u w:val="single"/>
                <w:lang w:eastAsia="zh-CN"/>
              </w:rPr>
              <w:t>“以品质赢得客户；以绿色、环保、健康、安全生产占有市场。”</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vAlign w:val="top"/>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439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pPr>
                  <w:r>
                    <w:rPr>
                      <w:rFonts w:hint="eastAsia"/>
                    </w:rPr>
                    <w:t>主要的风险或机遇描述</w:t>
                  </w:r>
                </w:p>
              </w:tc>
              <w:tc>
                <w:tcPr>
                  <w:tcW w:w="4396"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4396"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固体废弃物</w:t>
                  </w:r>
                </w:p>
              </w:tc>
              <w:tc>
                <w:tcPr>
                  <w:tcW w:w="4396"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rPr>
                      <w:rFonts w:hint="default" w:eastAsia="宋体"/>
                      <w:lang w:val="en-US" w:eastAsia="zh-CN"/>
                    </w:rPr>
                  </w:pPr>
                </w:p>
              </w:tc>
              <w:tc>
                <w:tcPr>
                  <w:tcW w:w="4396"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pPr>
                </w:p>
              </w:tc>
              <w:tc>
                <w:tcPr>
                  <w:tcW w:w="4396"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default" w:ascii="Times New Roman" w:hAnsi="Times New Roman" w:eastAsia="宋体" w:cs="Times New Roman"/>
                <w:kern w:val="2"/>
                <w:sz w:val="21"/>
                <w:szCs w:val="24"/>
                <w:highlight w:val="cyan"/>
                <w:lang w:val="en-US" w:eastAsia="zh-CN" w:bidi="ar-SA"/>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w:t>
            </w:r>
            <w:r>
              <w:rPr>
                <w:rFonts w:hint="eastAsia"/>
                <w:highlight w:val="none"/>
              </w:rPr>
              <w:t>他</w:t>
            </w:r>
            <w:r>
              <w:rPr>
                <w:rFonts w:hint="eastAsia"/>
                <w:highlight w:val="none"/>
                <w:lang w:eastAsia="zh-CN"/>
              </w:rPr>
              <w:t>：</w:t>
            </w:r>
            <w:r>
              <w:rPr>
                <w:rFonts w:hint="eastAsia"/>
                <w:highlight w:val="none"/>
                <w:lang w:val="en-US" w:eastAsia="zh-CN"/>
              </w:rPr>
              <w:t>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w:t>
            </w:r>
            <w:r>
              <w:rPr>
                <w:rFonts w:hint="eastAsia" w:ascii="宋体" w:hAnsi="宋体" w:eastAsia="宋体" w:cs="宋体"/>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90"/>
              <w:gridCol w:w="119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29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96"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ascii="宋体" w:hAnsi="宋体" w:eastAsia="宋体" w:cs="宋体"/>
                      <w:b w:val="0"/>
                      <w:bCs w:val="0"/>
                      <w:color w:val="auto"/>
                      <w:kern w:val="0"/>
                      <w:sz w:val="22"/>
                      <w:szCs w:val="24"/>
                      <w:lang w:val="en-US" w:eastAsia="zh-CN" w:bidi="ar-SA"/>
                    </w:rPr>
                  </w:pPr>
                  <w:r>
                    <w:rPr>
                      <w:rFonts w:hint="eastAsia" w:ascii="宋体" w:hAnsi="宋体"/>
                      <w:szCs w:val="21"/>
                    </w:rPr>
                    <w:t>火灾事故为0</w:t>
                  </w:r>
                </w:p>
              </w:tc>
              <w:tc>
                <w:tcPr>
                  <w:tcW w:w="3290"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196"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eastAsia="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ascii="宋体" w:hAnsi="宋体" w:eastAsia="宋体" w:cs="宋体"/>
                      <w:b w:val="0"/>
                      <w:bCs w:val="0"/>
                      <w:color w:val="auto"/>
                      <w:kern w:val="0"/>
                      <w:sz w:val="22"/>
                      <w:szCs w:val="24"/>
                      <w:lang w:val="en-US" w:eastAsia="zh-CN" w:bidi="ar-SA"/>
                    </w:rPr>
                  </w:pPr>
                  <w:r>
                    <w:rPr>
                      <w:rFonts w:hint="eastAsia" w:ascii="宋体" w:hAnsi="宋体"/>
                      <w:szCs w:val="21"/>
                    </w:rPr>
                    <w:t>固体废弃物处置率</w:t>
                  </w:r>
                  <w:r>
                    <w:rPr>
                      <w:rFonts w:ascii="宋体" w:hAnsi="宋体"/>
                      <w:szCs w:val="21"/>
                    </w:rPr>
                    <w:t>100%</w:t>
                  </w:r>
                </w:p>
              </w:tc>
              <w:tc>
                <w:tcPr>
                  <w:tcW w:w="3290"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196"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none"/>
                      <w:lang w:val="en-US" w:eastAsia="zh-CN"/>
                    </w:rPr>
                  </w:pPr>
                </w:p>
              </w:tc>
              <w:tc>
                <w:tcPr>
                  <w:tcW w:w="3290" w:type="dxa"/>
                  <w:shd w:val="clear" w:color="auto" w:fill="auto"/>
                  <w:vAlign w:val="center"/>
                </w:tcPr>
                <w:p>
                  <w:pPr>
                    <w:shd w:val="clear" w:color="auto" w:fill="EBF1DE" w:themeFill="accent3" w:themeFillTint="32"/>
                    <w:rPr>
                      <w:rFonts w:ascii="宋体" w:hAnsi="宋体"/>
                      <w:highlight w:val="none"/>
                    </w:rPr>
                  </w:pPr>
                </w:p>
              </w:tc>
              <w:tc>
                <w:tcPr>
                  <w:tcW w:w="1196"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290" w:type="dxa"/>
                  <w:shd w:val="clear" w:color="auto" w:fill="auto"/>
                  <w:vAlign w:val="center"/>
                </w:tcPr>
                <w:p>
                  <w:pPr>
                    <w:shd w:val="clear" w:color="auto" w:fill="EBF1DE" w:themeFill="accent3" w:themeFillTint="32"/>
                    <w:rPr>
                      <w:rFonts w:ascii="宋体" w:hAnsi="宋体"/>
                    </w:rPr>
                  </w:pPr>
                </w:p>
              </w:tc>
              <w:tc>
                <w:tcPr>
                  <w:tcW w:w="1196"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宋体" w:hAnsi="宋体" w:eastAsia="宋体" w:cs="宋体"/>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宋体" w:hAnsi="宋体" w:eastAsia="宋体" w:cs="宋体"/>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办公</w:t>
            </w:r>
            <w:r>
              <w:rPr>
                <w:rFonts w:hint="eastAsia" w:ascii="Times New Roman" w:hAnsi="Times New Roman" w:eastAsia="宋体" w:cs="Times New Roman"/>
                <w:highlight w:val="none"/>
              </w:rPr>
              <w:t>面积</w:t>
            </w:r>
            <w:r>
              <w:rPr>
                <w:rFonts w:hint="eastAsia" w:cs="Times New Roman"/>
                <w:highlight w:val="none"/>
                <w:lang w:val="en-US" w:eastAsia="zh-CN"/>
              </w:rPr>
              <w:t>10</w:t>
            </w:r>
            <w:r>
              <w:rPr>
                <w:rFonts w:hint="eastAsia" w:ascii="Times New Roman" w:hAnsi="Times New Roman" w:eastAsia="宋体" w:cs="Times New Roman"/>
                <w:highlight w:val="none"/>
                <w:u w:val="single"/>
                <w:lang w:val="en-US" w:eastAsia="zh-CN"/>
              </w:rPr>
              <w:t>0</w:t>
            </w:r>
            <w:r>
              <w:rPr>
                <w:rFonts w:hint="eastAsia" w:ascii="Times New Roman" w:hAnsi="Times New Roman" w:eastAsia="宋体" w:cs="Times New Roman"/>
                <w:highlight w:val="none"/>
                <w:lang w:val="en-US" w:eastAsia="zh-CN"/>
              </w:rPr>
              <w:t>平方米左右</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；实验室</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w:t>
            </w:r>
          </w:p>
          <w:p>
            <w:pPr>
              <w:shd w:val="clear" w:color="auto" w:fill="EBF1DE" w:themeFill="accent3" w:themeFillTint="32"/>
              <w:rPr>
                <w:rFonts w:hint="eastAsia" w:ascii="Times New Roman" w:hAnsi="Times New Roman" w:eastAsia="宋体" w:cs="Times New Roman"/>
                <w:highlight w:val="red"/>
                <w:lang w:eastAsia="zh-CN"/>
              </w:rPr>
            </w:pPr>
            <w:r>
              <w:rPr>
                <w:rFonts w:hint="eastAsia" w:ascii="Times New Roman" w:hAnsi="Times New Roman" w:eastAsia="宋体" w:cs="Times New Roman"/>
              </w:rPr>
              <w:t>主要生产设备</w:t>
            </w:r>
            <w:r>
              <w:rPr>
                <w:rFonts w:hint="eastAsia" w:ascii="Times New Roman" w:hAnsi="Times New Roman" w:eastAsia="宋体" w:cs="Times New Roman"/>
                <w:highlight w:val="none"/>
              </w:rPr>
              <w:t>有：</w:t>
            </w:r>
            <w:r>
              <w:rPr>
                <w:rFonts w:hint="eastAsia" w:ascii="Times New Roman" w:hAnsi="Times New Roman" w:eastAsia="宋体" w:cs="Times New Roman"/>
                <w:highlight w:val="none"/>
                <w:u w:val="single"/>
                <w:lang w:eastAsia="zh-CN"/>
              </w:rPr>
              <w:t>电脑、打印</w:t>
            </w:r>
            <w:r>
              <w:rPr>
                <w:rFonts w:hint="eastAsia" w:ascii="Times New Roman" w:hAnsi="Times New Roman" w:eastAsia="宋体" w:cs="Times New Roman"/>
                <w:highlight w:val="none"/>
                <w:u w:val="single"/>
                <w:lang w:val="en-US" w:eastAsia="zh-CN"/>
              </w:rPr>
              <w:t>机、</w:t>
            </w:r>
            <w:r>
              <w:rPr>
                <w:rFonts w:hint="eastAsia" w:ascii="Times New Roman" w:hAnsi="Times New Roman" w:eastAsia="宋体" w:cs="Times New Roman"/>
                <w:highlight w:val="none"/>
                <w:u w:val="single"/>
                <w:lang w:eastAsia="zh-CN"/>
              </w:rPr>
              <w:t>复印机及空调、办公桌椅等</w:t>
            </w:r>
            <w:r>
              <w:rPr>
                <w:rFonts w:hint="eastAsia" w:ascii="Times New Roman" w:hAnsi="Times New Roman" w:eastAsia="宋体" w:cs="Times New Roman"/>
                <w:highlight w:val="none"/>
                <w:lang w:eastAsia="zh-C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u w:val="single"/>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□工艺</w:t>
            </w:r>
            <w:r>
              <w:rPr>
                <w:rFonts w:hint="eastAsia"/>
              </w:rPr>
              <w:t xml:space="preserve">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 xml:space="preserve">  </w:t>
            </w:r>
            <w:r>
              <w:rPr>
                <w:rFonts w:hint="eastAsia" w:cs="Times New Roman"/>
                <w:u w:val="single"/>
                <w:lang w:val="en-US" w:eastAsia="zh-CN"/>
              </w:rPr>
              <w:t xml:space="preserve">             </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3594"/>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3" w:type="dxa"/>
                </w:tcPr>
                <w:p>
                  <w:pPr>
                    <w:shd w:val="clear" w:color="auto" w:fill="EBF1DE" w:themeFill="accent3" w:themeFillTint="32"/>
                    <w:jc w:val="left"/>
                  </w:pPr>
                  <w:r>
                    <w:rPr>
                      <w:rFonts w:hint="eastAsia"/>
                    </w:rPr>
                    <w:t>重要环境因素</w:t>
                  </w:r>
                </w:p>
              </w:tc>
              <w:tc>
                <w:tcPr>
                  <w:tcW w:w="3594"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top"/>
                </w:tcPr>
                <w:p>
                  <w:pPr>
                    <w:widowControl/>
                    <w:spacing w:before="40"/>
                    <w:jc w:val="left"/>
                    <w:rPr>
                      <w:rFonts w:hint="default" w:ascii="Times New Roman" w:hAnsi="Times New Roman" w:eastAsia="宋体" w:cs="Times New Roman"/>
                      <w:color w:val="000000" w:themeColor="text1"/>
                      <w:kern w:val="2"/>
                      <w:sz w:val="21"/>
                      <w:szCs w:val="18"/>
                      <w:highlight w:val="none"/>
                      <w:lang w:val="en-US" w:eastAsia="zh-CN" w:bidi="ar-SA"/>
                    </w:rPr>
                  </w:pPr>
                  <w:r>
                    <w:rPr>
                      <w:rFonts w:hint="eastAsia" w:cs="Times New Roman"/>
                      <w:color w:val="000000" w:themeColor="text1"/>
                      <w:szCs w:val="18"/>
                      <w:highlight w:val="none"/>
                      <w:lang w:val="en-US" w:eastAsia="zh-CN"/>
                    </w:rPr>
                    <w:t>固体废弃物</w:t>
                  </w:r>
                </w:p>
              </w:tc>
              <w:tc>
                <w:tcPr>
                  <w:tcW w:w="3594" w:type="dxa"/>
                </w:tcPr>
                <w:p>
                  <w:pPr>
                    <w:shd w:val="clear" w:color="auto" w:fill="EBF1DE" w:themeFill="accent3" w:themeFillTint="32"/>
                    <w:jc w:val="left"/>
                    <w:rPr>
                      <w:color w:val="000000" w:themeColor="text1"/>
                      <w:highlight w:val="none"/>
                    </w:rPr>
                  </w:pPr>
                  <w:r>
                    <w:rPr>
                      <w:rFonts w:hint="eastAsia" w:asciiTheme="minorEastAsia" w:hAnsiTheme="minorEastAsia" w:eastAsiaTheme="minorEastAsia"/>
                      <w:b w:val="0"/>
                      <w:bCs w:val="0"/>
                      <w:color w:val="000000" w:themeColor="text1"/>
                      <w:sz w:val="21"/>
                      <w:szCs w:val="21"/>
                      <w:highlight w:val="none"/>
                    </w:rPr>
                    <w:t>采取分类收集、管理方案</w:t>
                  </w:r>
                  <w:r>
                    <w:rPr>
                      <w:rFonts w:hint="eastAsia" w:asciiTheme="minorEastAsia" w:hAnsiTheme="minorEastAsia" w:eastAsiaTheme="minorEastAsia"/>
                      <w:b w:val="0"/>
                      <w:bCs w:val="0"/>
                      <w:color w:val="000000" w:themeColor="text1"/>
                      <w:sz w:val="21"/>
                      <w:szCs w:val="21"/>
                      <w:highlight w:val="none"/>
                      <w:lang w:val="en-US" w:eastAsia="zh-CN"/>
                    </w:rPr>
                    <w:t>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top"/>
                </w:tcPr>
                <w:p>
                  <w:pPr>
                    <w:widowControl/>
                    <w:spacing w:before="40"/>
                    <w:jc w:val="left"/>
                    <w:rPr>
                      <w:rFonts w:hint="default" w:ascii="Times New Roman" w:hAnsi="Times New Roman" w:eastAsia="宋体" w:cs="Times New Roman"/>
                      <w:color w:val="000000" w:themeColor="text1"/>
                      <w:kern w:val="2"/>
                      <w:sz w:val="21"/>
                      <w:szCs w:val="18"/>
                      <w:highlight w:val="none"/>
                      <w:lang w:val="en-US" w:eastAsia="zh-CN" w:bidi="ar-SA"/>
                    </w:rPr>
                  </w:pPr>
                  <w:r>
                    <w:rPr>
                      <w:rFonts w:hint="eastAsia" w:cs="Times New Roman"/>
                      <w:color w:val="000000" w:themeColor="text1"/>
                      <w:szCs w:val="18"/>
                      <w:highlight w:val="none"/>
                      <w:lang w:val="en-US" w:eastAsia="zh-CN"/>
                    </w:rPr>
                    <w:t>潜在火灾</w:t>
                  </w:r>
                </w:p>
              </w:tc>
              <w:tc>
                <w:tcPr>
                  <w:tcW w:w="3594" w:type="dxa"/>
                </w:tcPr>
                <w:p>
                  <w:pPr>
                    <w:shd w:val="clear" w:color="auto" w:fill="EBF1DE" w:themeFill="accent3" w:themeFillTint="32"/>
                    <w:jc w:val="left"/>
                    <w:rPr>
                      <w:color w:val="000000" w:themeColor="text1"/>
                      <w:highlight w:val="none"/>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shd w:val="clear" w:color="auto" w:fill="EBF1DE" w:themeFill="accent3" w:themeFillTint="32"/>
                    <w:jc w:val="left"/>
                  </w:pPr>
                  <w:r>
                    <w:rPr>
                      <w:rFonts w:hint="eastAsia"/>
                    </w:rPr>
                    <w:t>其他</w:t>
                  </w:r>
                </w:p>
              </w:tc>
              <w:tc>
                <w:tcPr>
                  <w:tcW w:w="3594"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lang w:val="en-US" w:eastAsia="zh-CN"/>
              </w:rPr>
              <w:t xml:space="preserve">      </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highlight w:val="none"/>
              </w:rPr>
              <w:t>于</w:t>
            </w:r>
            <w:r>
              <w:rPr>
                <w:rFonts w:hint="eastAsia"/>
                <w:highlight w:val="none"/>
                <w:u w:val="single"/>
                <w:lang w:eastAsia="zh-CN"/>
              </w:rPr>
              <w:t>2022年2月20日日</w:t>
            </w:r>
            <w:r>
              <w:rPr>
                <w:rFonts w:hint="eastAsia"/>
                <w:highlight w:val="none"/>
              </w:rPr>
              <w:t>进行了</w:t>
            </w:r>
            <w:r>
              <w:rPr>
                <w:rFonts w:hint="eastAsia"/>
                <w:highlight w:val="none"/>
                <w:u w:val="single"/>
              </w:rPr>
              <w:t>火灾消</w:t>
            </w:r>
            <w:r>
              <w:rPr>
                <w:rFonts w:hint="eastAsia" w:ascii="宋体" w:hAnsi="宋体" w:cs="宋体"/>
                <w:szCs w:val="21"/>
                <w:highlight w:val="none"/>
                <w:u w:val="single"/>
              </w:rPr>
              <w:t>防</w:t>
            </w:r>
            <w:r>
              <w:rPr>
                <w:rFonts w:hint="eastAsia"/>
                <w:highlight w:val="none"/>
                <w:u w:val="single"/>
              </w:rPr>
              <w:t>的演练</w:t>
            </w:r>
            <w:r>
              <w:rPr>
                <w:rFonts w:hint="eastAsia"/>
                <w:highlight w:val="none"/>
              </w:rPr>
              <w:t>；</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rPr>
                <w:highlight w:val="none"/>
              </w:rPr>
            </w:pPr>
            <w:r>
              <w:rPr>
                <w:rFonts w:hint="eastAsia"/>
              </w:rPr>
              <w:t>组织已建立</w:t>
            </w:r>
            <w:r>
              <w:rPr>
                <w:rFonts w:hint="eastAsia"/>
                <w:highlight w:val="none"/>
              </w:rPr>
              <w:t>、实施并保持评价其合规义务履行情况所需的过程。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2022年1月25日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宋体" w:hAnsi="宋体" w:eastAsia="宋体" w:cs="宋体"/>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ascii="Times New Roman" w:hAnsi="Times New Roman" w:eastAsia="宋体" w:cs="Times New Roman"/>
                <w:color w:val="000000"/>
                <w:szCs w:val="18"/>
                <w:highlight w:val="none"/>
                <w:u w:val="single"/>
                <w:lang w:eastAsia="zh-CN"/>
              </w:rPr>
              <w:t xml:space="preserve"> </w:t>
            </w:r>
            <w:r>
              <w:rPr>
                <w:rFonts w:hint="eastAsia" w:cs="Times New Roman"/>
                <w:color w:val="000000"/>
                <w:szCs w:val="18"/>
                <w:highlight w:val="none"/>
                <w:u w:val="single"/>
                <w:lang w:eastAsia="zh-CN"/>
              </w:rPr>
              <w:t>2022年2月10日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rFonts w:hint="eastAsia" w:eastAsia="宋体"/>
                <w:highlight w:val="none"/>
              </w:rPr>
            </w:pPr>
            <w:r>
              <w:rPr>
                <w:rFonts w:hint="eastAsia" w:ascii="Wingdings" w:hAnsi="Wingdings" w:eastAsia="宋体"/>
                <w:highlight w:val="none"/>
                <w:lang w:eastAsia="zh-CN"/>
              </w:rPr>
              <w:t>□</w:t>
            </w:r>
            <w:r>
              <w:rPr>
                <w:rFonts w:hint="eastAsia" w:eastAsia="宋体"/>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最高管理者已按策划的时间间隔，在</w:t>
            </w:r>
            <w:r>
              <w:rPr>
                <w:rFonts w:hint="eastAsia" w:cs="Times New Roman"/>
                <w:color w:val="000000"/>
                <w:szCs w:val="18"/>
                <w:highlight w:val="none"/>
                <w:u w:val="single"/>
                <w:lang w:eastAsia="zh-CN"/>
              </w:rPr>
              <w:t>2022年2月20日</w:t>
            </w:r>
            <w:r>
              <w:rPr>
                <w:rFonts w:hint="eastAsia"/>
                <w:highlight w:val="none"/>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组织针对环境管理体系运行中的不符合采取了有效纠正和纠正措施。针对下列方面采取了纠正措施：</w:t>
            </w:r>
          </w:p>
          <w:p>
            <w:pPr>
              <w:shd w:val="clear" w:color="auto" w:fill="EBF1DE" w:themeFill="accent3" w:themeFillTint="32"/>
              <w:rPr>
                <w:rFonts w:hint="eastAsia" w:eastAsia="宋体"/>
                <w:highlight w:val="none"/>
              </w:rPr>
            </w:pPr>
            <w:r>
              <w:rPr>
                <w:rFonts w:hint="eastAsia" w:eastAsia="宋体"/>
                <w:highlight w:val="none"/>
                <w:lang w:eastAsia="zh-CN"/>
              </w:rPr>
              <w:t>■</w:t>
            </w:r>
            <w:r>
              <w:rPr>
                <w:rFonts w:hint="eastAsia" w:eastAsia="宋体"/>
                <w:highlight w:val="none"/>
              </w:rPr>
              <w:t xml:space="preserve">不合格产品/服务 </w:t>
            </w:r>
            <w:r>
              <w:rPr>
                <w:rFonts w:hint="eastAsia" w:eastAsia="宋体"/>
                <w:highlight w:val="none"/>
                <w:lang w:eastAsia="zh-CN"/>
              </w:rPr>
              <w:t>□</w:t>
            </w:r>
            <w:r>
              <w:rPr>
                <w:rFonts w:hint="eastAsia" w:eastAsia="宋体"/>
                <w:highlight w:val="none"/>
              </w:rPr>
              <w:t xml:space="preserve">自我验证的结果  </w:t>
            </w:r>
            <w:r>
              <w:rPr>
                <w:rFonts w:hint="eastAsia" w:eastAsia="宋体"/>
                <w:highlight w:val="none"/>
                <w:lang w:eastAsia="zh-CN"/>
              </w:rPr>
              <w:t>■</w:t>
            </w:r>
            <w:r>
              <w:rPr>
                <w:rFonts w:hint="eastAsia" w:eastAsia="宋体"/>
                <w:highlight w:val="none"/>
              </w:rPr>
              <w:t xml:space="preserve">顾客投诉  </w:t>
            </w:r>
            <w:r>
              <w:rPr>
                <w:rFonts w:hint="eastAsia" w:eastAsia="宋体"/>
                <w:highlight w:val="none"/>
                <w:lang w:eastAsia="zh-CN"/>
              </w:rPr>
              <w:t>■</w:t>
            </w:r>
            <w:r>
              <w:rPr>
                <w:rFonts w:hint="eastAsia" w:eastAsia="宋体"/>
                <w:highlight w:val="none"/>
              </w:rPr>
              <w:t xml:space="preserve">顾客满意调查 </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eastAsia="宋体"/>
                <w:highlight w:val="none"/>
                <w:lang w:eastAsia="zh-CN"/>
              </w:rPr>
              <w:t>■</w:t>
            </w:r>
            <w:r>
              <w:rPr>
                <w:rFonts w:hint="eastAsia" w:eastAsia="宋体"/>
                <w:highlight w:val="none"/>
              </w:rPr>
              <w:t xml:space="preserve">内审不符合项   </w:t>
            </w:r>
            <w:r>
              <w:rPr>
                <w:rFonts w:hint="eastAsia" w:eastAsia="宋体"/>
                <w:highlight w:val="none"/>
                <w:lang w:eastAsia="zh-CN"/>
              </w:rPr>
              <w:t>□</w:t>
            </w:r>
            <w:r>
              <w:rPr>
                <w:rFonts w:hint="eastAsia" w:eastAsia="宋体"/>
                <w:highlight w:val="none"/>
              </w:rPr>
              <w:t xml:space="preserve">外审不符合项  </w:t>
            </w:r>
            <w:r>
              <w:rPr>
                <w:rFonts w:hint="eastAsia" w:eastAsia="宋体"/>
                <w:highlight w:val="none"/>
                <w:lang w:eastAsia="zh-CN"/>
              </w:rPr>
              <w:t>■</w:t>
            </w:r>
            <w:r>
              <w:rPr>
                <w:rFonts w:hint="eastAsia" w:eastAsia="宋体"/>
                <w:highlight w:val="none"/>
              </w:rPr>
              <w:t xml:space="preserve">管理评审   </w:t>
            </w:r>
            <w:r>
              <w:rPr>
                <w:rFonts w:hint="eastAsia" w:ascii="宋体" w:hAnsi="宋体" w:eastAsia="宋体" w:cs="宋体"/>
                <w:highlight w:val="none"/>
                <w:lang w:eastAsia="zh-CN"/>
              </w:rPr>
              <w:t>■</w:t>
            </w:r>
            <w:r>
              <w:rPr>
                <w:rFonts w:hint="eastAsia" w:eastAsia="宋体"/>
                <w:highlight w:val="none"/>
              </w:rPr>
              <w:t xml:space="preserve">目标统计分析结果   </w:t>
            </w:r>
            <w:r>
              <w:rPr>
                <w:rFonts w:hint="eastAsia" w:eastAsia="宋体"/>
                <w:highlight w:val="none"/>
                <w:lang w:eastAsia="zh-CN"/>
              </w:rPr>
              <w:t>□</w:t>
            </w:r>
            <w:r>
              <w:rPr>
                <w:rFonts w:hint="eastAsia" w:eastAsia="宋体"/>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highlight w:val="none"/>
                <w:u w:val="single"/>
              </w:rPr>
            </w:pPr>
            <w:r>
              <w:rPr>
                <w:rFonts w:hint="eastAsia"/>
              </w:rPr>
              <w:t>最高管理者制定了文件化的职业健康安全管理体系方针</w:t>
            </w:r>
            <w:r>
              <w:rPr>
                <w:rFonts w:hint="eastAsia"/>
                <w:highlight w:val="none"/>
              </w:rPr>
              <w:t>：</w:t>
            </w:r>
            <w:r>
              <w:rPr>
                <w:rFonts w:hint="eastAsia" w:ascii="宋体" w:hAnsi="宋体" w:cs="宋体"/>
                <w:highlight w:val="none"/>
                <w:u w:val="single"/>
                <w:lang w:eastAsia="zh-CN"/>
              </w:rPr>
              <w:t>“以品质赢得客户；以绿色、环保、健康、安全生产占有市场。</w:t>
            </w:r>
            <w:r>
              <w:rPr>
                <w:rFonts w:hint="eastAsia" w:cs="Times New Roman"/>
                <w:color w:val="000000"/>
                <w:szCs w:val="18"/>
                <w:highlight w:val="none"/>
                <w:u w:val="single"/>
                <w:lang w:eastAsia="zh-CN"/>
              </w:rPr>
              <w:t>”</w:t>
            </w:r>
          </w:p>
          <w:p>
            <w:pPr>
              <w:rPr>
                <w:lang w:val="en-GB"/>
              </w:rPr>
            </w:pPr>
            <w:r>
              <w:rPr>
                <w:rFonts w:hint="eastAsia"/>
                <w:highlight w:val="none"/>
              </w:rPr>
              <w:t>职业健康安全</w:t>
            </w:r>
            <w:r>
              <w:rPr>
                <w:rFonts w:hint="eastAsia"/>
                <w:highlight w:val="none"/>
                <w:lang w:val="en-GB"/>
              </w:rPr>
              <w:t>方针合理恰当并为相应的</w:t>
            </w:r>
            <w:r>
              <w:rPr>
                <w:rFonts w:hint="eastAsia"/>
                <w:highlight w:val="none"/>
              </w:rPr>
              <w:t>职业健康安全</w:t>
            </w:r>
            <w:r>
              <w:rPr>
                <w:rFonts w:hint="eastAsia"/>
                <w:highlight w:val="none"/>
                <w:lang w:val="en-GB"/>
              </w:rPr>
              <w:t>目标提</w:t>
            </w:r>
            <w:r>
              <w:rPr>
                <w:rFonts w:hint="eastAsia"/>
                <w:lang w:val="en-GB"/>
              </w:rPr>
              <w:t>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组织建立了参与和协商的机制，由所有相关层次和职能部门的员工和员工代表参与（包括协商）建立、策划</w:t>
            </w:r>
            <w:r>
              <w:rPr>
                <w:rFonts w:hint="eastAsia"/>
                <w:highlight w:val="none"/>
              </w:rPr>
              <w:t>、实施、评价和改进职业健康安全管理体系。</w:t>
            </w:r>
          </w:p>
          <w:p>
            <w:pPr>
              <w:rPr>
                <w:highlight w:val="none"/>
              </w:rPr>
            </w:pPr>
          </w:p>
          <w:p>
            <w:pPr>
              <w:rPr>
                <w:rFonts w:hint="default" w:eastAsia="宋体"/>
                <w:lang w:val="en-US" w:eastAsia="zh-CN"/>
              </w:rPr>
            </w:pPr>
            <w:r>
              <w:rPr>
                <w:rFonts w:hint="eastAsia"/>
                <w:highlight w:val="none"/>
              </w:rPr>
              <w:t>员工代表是—</w:t>
            </w:r>
            <w:r>
              <w:rPr>
                <w:rFonts w:hint="eastAsia" w:ascii="Times New Roman" w:hAnsi="Times New Roman" w:cs="Times New Roman"/>
                <w:highlight w:val="none"/>
              </w:rPr>
              <w:t>—</w:t>
            </w:r>
            <w:r>
              <w:rPr>
                <w:rFonts w:hint="eastAsia" w:cs="Times New Roman"/>
                <w:highlight w:val="none"/>
                <w:lang w:val="en-US" w:eastAsia="zh-CN"/>
              </w:rPr>
              <w:t>汪永学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439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r>
                    <w:rPr>
                      <w:rFonts w:hint="eastAsia"/>
                    </w:rPr>
                    <w:t>主要的风险或机遇描述</w:t>
                  </w:r>
                </w:p>
              </w:tc>
              <w:tc>
                <w:tcPr>
                  <w:tcW w:w="439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spacing w:line="240" w:lineRule="exact"/>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heme="minorEastAsia" w:hAnsiTheme="minorEastAsia"/>
                      <w:bCs/>
                      <w:kern w:val="0"/>
                      <w:szCs w:val="21"/>
                    </w:rPr>
                    <w:t>火灾</w:t>
                  </w:r>
                </w:p>
              </w:tc>
              <w:tc>
                <w:tcPr>
                  <w:tcW w:w="4396"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spacing w:line="240" w:lineRule="exact"/>
                    <w:jc w:val="left"/>
                    <w:rPr>
                      <w:rFonts w:hint="default" w:asciiTheme="minorEastAsia" w:hAnsiTheme="minorEastAsia"/>
                      <w:bCs/>
                      <w:kern w:val="0"/>
                      <w:szCs w:val="21"/>
                      <w:lang w:val="en-US" w:eastAsia="zh-CN"/>
                    </w:rPr>
                  </w:pPr>
                  <w:r>
                    <w:rPr>
                      <w:rFonts w:hint="eastAsia" w:asciiTheme="minorEastAsia" w:hAnsiTheme="minorEastAsia"/>
                      <w:bCs/>
                      <w:kern w:val="0"/>
                      <w:szCs w:val="21"/>
                    </w:rPr>
                    <w:t>人身意外伤害</w:t>
                  </w:r>
                </w:p>
              </w:tc>
              <w:tc>
                <w:tcPr>
                  <w:tcW w:w="4396" w:type="dxa"/>
                  <w:vAlign w:val="top"/>
                </w:tcPr>
                <w:p>
                  <w:pPr>
                    <w:spacing w:line="240" w:lineRule="exact"/>
                    <w:jc w:val="left"/>
                    <w:rPr>
                      <w:rFonts w:hint="eastAsia" w:asciiTheme="minorEastAsia" w:hAnsiTheme="minorEastAsia"/>
                      <w:bCs/>
                      <w:kern w:val="0"/>
                      <w:szCs w:val="21"/>
                      <w:lang w:val="en-US" w:eastAsia="zh-CN"/>
                    </w:rPr>
                  </w:pPr>
                  <w:r>
                    <w:rPr>
                      <w:rFonts w:hint="eastAsia" w:asciiTheme="minorEastAsia" w:hAnsiTheme="minorEastAsia"/>
                      <w:bCs/>
                      <w:kern w:val="0"/>
                      <w:szCs w:val="21"/>
                      <w:lang w:val="en-US" w:eastAsia="zh-CN"/>
                    </w:rPr>
                    <w:t>通过</w:t>
                  </w:r>
                  <w:r>
                    <w:rPr>
                      <w:rFonts w:hint="eastAsia" w:asciiTheme="minorEastAsia" w:hAnsiTheme="minorEastAsia"/>
                      <w:bCs/>
                      <w:kern w:val="0"/>
                      <w:szCs w:val="21"/>
                    </w:rPr>
                    <w:t>管理方案和预案措施</w:t>
                  </w:r>
                  <w:r>
                    <w:rPr>
                      <w:rFonts w:hint="eastAsia" w:asciiTheme="minorEastAsia" w:hAnsiTheme="minorEastAsia"/>
                      <w:bCs/>
                      <w:kern w:val="0"/>
                      <w:szCs w:val="21"/>
                      <w:lang w:val="en-US" w:eastAsia="zh-CN"/>
                    </w:rPr>
                    <w:t>进行</w:t>
                  </w:r>
                  <w:r>
                    <w:rPr>
                      <w:rFonts w:hint="eastAsia" w:asciiTheme="minorEastAsia" w:hAnsiTheme="minorEastAsia"/>
                      <w:bCs/>
                      <w:kern w:val="0"/>
                      <w:szCs w:val="21"/>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spacing w:line="240" w:lineRule="exact"/>
                    <w:jc w:val="left"/>
                  </w:pPr>
                </w:p>
              </w:tc>
              <w:tc>
                <w:tcPr>
                  <w:tcW w:w="4396"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pPr>
              <w:rPr>
                <w:highlight w:val="none"/>
              </w:rPr>
            </w:pPr>
            <w:r>
              <w:rPr>
                <w:rFonts w:hint="eastAsia"/>
              </w:rPr>
              <w:t>不可接受危险源包括(必要时，按每个场所来描述):</w:t>
            </w:r>
            <w:r>
              <w:rPr>
                <w:rFonts w:hint="eastAsia"/>
                <w:highlight w:val="none"/>
              </w:rPr>
              <w:t>（不必全选）</w:t>
            </w:r>
          </w:p>
          <w:p>
            <w:pPr>
              <w:spacing w:before="40" w:after="40"/>
              <w:rPr>
                <w:rFonts w:hint="eastAsia" w:eastAsia="宋体"/>
                <w:highlight w:val="cyan"/>
                <w:lang w:eastAsia="zh-CN"/>
              </w:rPr>
            </w:pPr>
            <w:r>
              <w:rPr>
                <w:rFonts w:hint="eastAsia"/>
                <w:highlight w:val="none"/>
                <w:lang w:eastAsia="zh-CN"/>
              </w:rPr>
              <w:t>□</w:t>
            </w:r>
            <w:r>
              <w:rPr>
                <w:rFonts w:hint="eastAsia"/>
                <w:highlight w:val="none"/>
              </w:rPr>
              <w:t xml:space="preserve">机械伤害  </w:t>
            </w:r>
            <w:r>
              <w:rPr>
                <w:rFonts w:hint="eastAsia" w:ascii="宋体" w:hAnsi="宋体" w:cs="宋体"/>
                <w:highlight w:val="none"/>
                <w:lang w:eastAsia="zh-CN"/>
              </w:rPr>
              <w:t>□触电</w:t>
            </w:r>
            <w:r>
              <w:rPr>
                <w:rFonts w:hint="eastAsia"/>
                <w:highlight w:val="none"/>
              </w:rPr>
              <w:t xml:space="preserve"> □化学伤害  □噪声 □粉尘  □危险作业 </w:t>
            </w:r>
            <w:r>
              <w:rPr>
                <w:rFonts w:hint="eastAsia"/>
                <w:highlight w:val="none"/>
                <w:lang w:eastAsia="zh-CN"/>
              </w:rPr>
              <w:t>□</w:t>
            </w:r>
            <w:r>
              <w:rPr>
                <w:rFonts w:hint="eastAsia"/>
                <w:highlight w:val="none"/>
              </w:rPr>
              <w:t xml:space="preserve">高低温  □危化品泄露 □压力容器爆炸  </w:t>
            </w:r>
            <w:r>
              <w:rPr>
                <w:rFonts w:hint="eastAsia"/>
                <w:highlight w:val="none"/>
                <w:lang w:eastAsia="zh-CN"/>
              </w:rPr>
              <w:t>■</w:t>
            </w:r>
            <w:r>
              <w:rPr>
                <w:rFonts w:hint="eastAsia"/>
                <w:highlight w:val="none"/>
              </w:rPr>
              <w:t xml:space="preserve">火灾  </w:t>
            </w:r>
            <w:r>
              <w:rPr>
                <w:rFonts w:hint="eastAsia" w:ascii="宋体" w:hAnsi="宋体" w:eastAsia="宋体" w:cs="宋体"/>
                <w:highlight w:val="none"/>
              </w:rPr>
              <w:t>■</w:t>
            </w:r>
            <w:r>
              <w:rPr>
                <w:rFonts w:hint="eastAsia"/>
                <w:highlight w:val="none"/>
              </w:rPr>
              <w:t>其他</w:t>
            </w:r>
            <w:r>
              <w:rPr>
                <w:rFonts w:hint="eastAsia"/>
                <w:highlight w:val="none"/>
                <w:lang w:eastAsia="zh-CN"/>
              </w:rPr>
              <w:t>：</w:t>
            </w:r>
            <w:r>
              <w:rPr>
                <w:rFonts w:hint="eastAsia"/>
                <w:highlight w:val="none"/>
              </w:rPr>
              <w:t>人身意外伤害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418"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olor w:val="000000" w:themeColor="text1"/>
                    </w:rPr>
                  </w:pPr>
                  <w:r>
                    <w:rPr>
                      <w:rFonts w:hint="eastAsia"/>
                      <w:color w:val="000000" w:themeColor="text1"/>
                    </w:rPr>
                    <w:t>职业健康安全</w:t>
                  </w:r>
                  <w:r>
                    <w:rPr>
                      <w:rFonts w:hint="eastAsia" w:ascii="宋体" w:hAnsi="宋体"/>
                      <w:color w:val="000000" w:themeColor="text1"/>
                    </w:rPr>
                    <w:t>目标</w:t>
                  </w:r>
                </w:p>
              </w:tc>
              <w:tc>
                <w:tcPr>
                  <w:tcW w:w="3136" w:type="dxa"/>
                  <w:shd w:val="clear" w:color="auto" w:fill="auto"/>
                </w:tcPr>
                <w:p>
                  <w:pPr>
                    <w:rPr>
                      <w:rFonts w:ascii="宋体" w:hAnsi="宋体"/>
                      <w:color w:val="000000" w:themeColor="text1"/>
                    </w:rPr>
                  </w:pPr>
                  <w:r>
                    <w:rPr>
                      <w:rFonts w:hint="eastAsia" w:ascii="宋体" w:hAnsi="宋体"/>
                      <w:color w:val="000000" w:themeColor="text1"/>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2"/>
                      <w:szCs w:val="24"/>
                      <w:lang w:val="en-US" w:eastAsia="zh-CN" w:bidi="ar-SA"/>
                    </w:rPr>
                  </w:pPr>
                  <w:r>
                    <w:rPr>
                      <w:rFonts w:hint="eastAsia" w:ascii="宋体" w:hAnsi="宋体" w:eastAsia="宋体" w:cs="宋体"/>
                      <w:b w:val="0"/>
                      <w:bCs w:val="0"/>
                      <w:color w:val="auto"/>
                      <w:kern w:val="0"/>
                      <w:sz w:val="22"/>
                    </w:rPr>
                    <w:t>火灾事故为零</w:t>
                  </w:r>
                </w:p>
              </w:tc>
              <w:tc>
                <w:tcPr>
                  <w:tcW w:w="3136" w:type="dxa"/>
                  <w:shd w:val="clear" w:color="auto" w:fill="auto"/>
                  <w:vAlign w:val="center"/>
                </w:tcPr>
                <w:p>
                  <w:pPr>
                    <w:rPr>
                      <w:color w:val="000000" w:themeColor="text1"/>
                      <w:highlight w:val="none"/>
                      <w:lang w:val="en-GB"/>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2"/>
                      <w:szCs w:val="24"/>
                      <w:lang w:val="en-US" w:eastAsia="zh-CN" w:bidi="ar-SA"/>
                    </w:rPr>
                  </w:pPr>
                  <w:r>
                    <w:rPr>
                      <w:rFonts w:hint="eastAsia" w:ascii="宋体" w:hAnsi="宋体" w:eastAsia="宋体" w:cs="宋体"/>
                      <w:b w:val="0"/>
                      <w:bCs w:val="0"/>
                      <w:color w:val="auto"/>
                      <w:kern w:val="0"/>
                      <w:sz w:val="22"/>
                      <w:lang w:eastAsia="zh-CN"/>
                    </w:rPr>
                    <w:t>意外伤害事故为0</w:t>
                  </w:r>
                </w:p>
              </w:tc>
              <w:tc>
                <w:tcPr>
                  <w:tcW w:w="3136" w:type="dxa"/>
                  <w:shd w:val="clear" w:color="auto" w:fill="auto"/>
                  <w:vAlign w:val="center"/>
                </w:tcPr>
                <w:p>
                  <w:pPr>
                    <w:rPr>
                      <w:rFonts w:ascii="宋体" w:hAnsi="宋体"/>
                      <w:color w:val="000000" w:themeColor="text1"/>
                      <w:highlight w:val="red"/>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val="en-US" w:eastAsia="zh-CN"/>
                    </w:rPr>
                    <w:t>进行</w:t>
                  </w:r>
                  <w:r>
                    <w:rPr>
                      <w:rFonts w:hint="eastAsia" w:asciiTheme="minorEastAsia" w:hAnsiTheme="minorEastAsia" w:eastAsiaTheme="minorEastAsia"/>
                      <w:b w:val="0"/>
                      <w:bCs w:val="0"/>
                      <w:color w:val="000000" w:themeColor="text1"/>
                      <w:sz w:val="21"/>
                      <w:szCs w:val="21"/>
                      <w:highlight w:val="none"/>
                    </w:rPr>
                    <w:t>管理</w:t>
                  </w:r>
                </w:p>
              </w:tc>
              <w:tc>
                <w:tcPr>
                  <w:tcW w:w="1350"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default" w:ascii="宋体" w:hAnsi="宋体" w:eastAsia="宋体"/>
                      <w:lang w:val="en-US" w:eastAsia="zh-CN"/>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ascii="Times New Roman" w:hAnsi="Times New Roman" w:eastAsia="宋体" w:cs="Times New Roman"/>
                <w:highlight w:val="none"/>
                <w:lang w:val="en-US" w:eastAsia="zh-CN"/>
              </w:rPr>
              <w:t>办公</w:t>
            </w:r>
            <w:r>
              <w:rPr>
                <w:rFonts w:hint="eastAsia" w:ascii="Times New Roman" w:hAnsi="Times New Roman" w:eastAsia="宋体" w:cs="Times New Roman"/>
                <w:highlight w:val="none"/>
              </w:rPr>
              <w:t>面积</w:t>
            </w:r>
            <w:r>
              <w:rPr>
                <w:rFonts w:hint="eastAsia" w:cs="Times New Roman"/>
                <w:highlight w:val="none"/>
                <w:lang w:val="en-US" w:eastAsia="zh-CN"/>
              </w:rPr>
              <w:t>10</w:t>
            </w:r>
            <w:r>
              <w:rPr>
                <w:rFonts w:hint="eastAsia" w:ascii="Times New Roman" w:hAnsi="Times New Roman" w:eastAsia="宋体" w:cs="Times New Roman"/>
                <w:highlight w:val="none"/>
                <w:u w:val="single"/>
                <w:lang w:val="en-US" w:eastAsia="zh-CN"/>
              </w:rPr>
              <w:t>0</w:t>
            </w:r>
            <w:r>
              <w:rPr>
                <w:rFonts w:hint="eastAsia" w:ascii="Times New Roman" w:hAnsi="Times New Roman" w:eastAsia="宋体" w:cs="Times New Roman"/>
                <w:highlight w:val="none"/>
                <w:lang w:val="en-US" w:eastAsia="zh-CN"/>
              </w:rPr>
              <w:t>平方米左右</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cs="Times New Roman"/>
                <w:highlight w:val="none"/>
                <w:u w:val="single"/>
                <w:lang w:val="en-US" w:eastAsia="zh-CN"/>
              </w:rPr>
              <w:t xml:space="preserve">    </w:t>
            </w:r>
            <w:r>
              <w:rPr>
                <w:rFonts w:hint="eastAsia" w:ascii="Times New Roman" w:hAnsi="Times New Roman" w:eastAsia="宋体" w:cs="Times New Roman"/>
                <w:highlight w:val="none"/>
                <w:u w:val="single"/>
                <w:lang w:val="en-US" w:eastAsia="zh-CN"/>
              </w:rPr>
              <w:t xml:space="preserve"> </w:t>
            </w:r>
            <w:r>
              <w:rPr>
                <w:rFonts w:hint="eastAsia"/>
              </w:rPr>
              <w:t xml:space="preserve"> ；实验室   个</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highlight w:val="none"/>
                <w:u w:val="single"/>
                <w:lang w:eastAsia="zh-CN"/>
              </w:rPr>
              <w:t>电脑、打印</w:t>
            </w:r>
            <w:r>
              <w:rPr>
                <w:rFonts w:hint="eastAsia" w:ascii="Times New Roman" w:hAnsi="Times New Roman" w:eastAsia="宋体" w:cs="Times New Roman"/>
                <w:highlight w:val="none"/>
                <w:u w:val="single"/>
                <w:lang w:val="en-US" w:eastAsia="zh-CN"/>
              </w:rPr>
              <w:t>机、</w:t>
            </w:r>
            <w:r>
              <w:rPr>
                <w:rFonts w:hint="eastAsia" w:ascii="Times New Roman" w:hAnsi="Times New Roman" w:eastAsia="宋体" w:cs="Times New Roman"/>
                <w:highlight w:val="none"/>
                <w:u w:val="single"/>
                <w:lang w:eastAsia="zh-CN"/>
              </w:rPr>
              <w:t>复印机及空调、办公桌椅等</w:t>
            </w:r>
            <w:r>
              <w:rPr>
                <w:rFonts w:hint="eastAsia" w:ascii="Times New Roman" w:hAnsi="Times New Roman" w:eastAsia="宋体" w:cs="Times New Roman"/>
                <w:highlight w:val="none"/>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□工艺</w:t>
            </w:r>
            <w:r>
              <w:rPr>
                <w:rFonts w:hint="eastAsia"/>
              </w:rPr>
              <w:t xml:space="preserve">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u w:val="single"/>
                <w:lang w:val="en-US" w:eastAsia="zh-CN"/>
              </w:rPr>
              <w:t xml:space="preserve"> </w:t>
            </w:r>
            <w:r>
              <w:rPr>
                <w:rFonts w:hint="eastAsia" w:cs="Times New Roman"/>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rPr>
                      <w:highlight w:val="none"/>
                    </w:rPr>
                  </w:pPr>
                  <w:r>
                    <w:rPr>
                      <w:rFonts w:hint="eastAsia" w:ascii="宋体" w:hAnsi="宋体" w:eastAsia="宋体" w:cs="宋体"/>
                      <w:highlight w:val="none"/>
                    </w:rPr>
                    <w:t>■</w:t>
                  </w:r>
                  <w:r>
                    <w:rPr>
                      <w:rFonts w:hint="eastAsia"/>
                      <w:highlight w:val="none"/>
                    </w:rPr>
                    <w:t>漏电保护 □绝缘用具检测</w:t>
                  </w:r>
                </w:p>
              </w:tc>
              <w:tc>
                <w:tcPr>
                  <w:tcW w:w="2205" w:type="dxa"/>
                </w:tcPr>
                <w:p>
                  <w:pPr>
                    <w:jc w:val="left"/>
                    <w:rPr>
                      <w:rFonts w:hint="eastAsia" w:eastAsia="宋体"/>
                      <w:highlight w:val="none"/>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rPr>
                      <w:highlight w:val="none"/>
                    </w:rPr>
                  </w:pPr>
                  <w:r>
                    <w:rPr>
                      <w:rFonts w:hint="eastAsia"/>
                      <w:highlight w:val="none"/>
                    </w:rPr>
                    <w:t xml:space="preserve">□除尘装置  </w:t>
                  </w:r>
                  <w:r>
                    <w:rPr>
                      <w:rFonts w:hint="eastAsia" w:ascii="Wingdings" w:hAnsi="Wingdings"/>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rPr>
                      <w:highlight w:val="none"/>
                    </w:rPr>
                  </w:pPr>
                  <w:r>
                    <w:rPr>
                      <w:rFonts w:hint="eastAsia"/>
                      <w:highlight w:val="none"/>
                    </w:rPr>
                    <w:t>□减少作业时间  □空间隔离  □防暑降温用品</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通知应急预案演练及管理方案进行控制</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highlight w:val="none"/>
                <w:u w:val="single"/>
                <w:lang w:eastAsia="zh-CN"/>
              </w:rPr>
              <w:t>2022年2月20日日</w:t>
            </w:r>
            <w:r>
              <w:rPr>
                <w:rFonts w:hint="eastAsia" w:eastAsia="宋体"/>
                <w:highlight w:val="none"/>
              </w:rPr>
              <w:t>进行了火灾消防</w:t>
            </w:r>
            <w:r>
              <w:rPr>
                <w:rFonts w:hint="eastAsia" w:eastAsia="宋体"/>
              </w:rPr>
              <w:t xml:space="preserve">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rPr>
                <w:highlight w:val="none"/>
              </w:rPr>
            </w:pPr>
            <w:r>
              <w:rPr>
                <w:rFonts w:hint="eastAsia"/>
              </w:rPr>
              <w:t>组织已分析和评价通过监视和测量获得的</w:t>
            </w:r>
            <w:r>
              <w:rPr>
                <w:rFonts w:hint="eastAsia"/>
                <w:highlight w:val="none"/>
              </w:rPr>
              <w:t>适当的数据和信息。</w:t>
            </w:r>
          </w:p>
          <w:p>
            <w:pPr>
              <w:rPr>
                <w:rFonts w:hint="eastAsia" w:ascii="Times New Roman" w:hAnsi="Times New Roman" w:eastAsia="宋体" w:cs="Times New Roman"/>
                <w:highlight w:val="none"/>
              </w:rPr>
            </w:pPr>
            <w:r>
              <w:rPr>
                <w:rFonts w:hint="eastAsia"/>
                <w:highlight w:val="none"/>
              </w:rPr>
              <w:t>组织已建立、实</w:t>
            </w:r>
            <w:r>
              <w:rPr>
                <w:rFonts w:hint="eastAsia" w:ascii="Times New Roman" w:hAnsi="Times New Roman" w:eastAsia="宋体" w:cs="Times New Roman"/>
                <w:highlight w:val="none"/>
              </w:rPr>
              <w:t>施并保持评价其合规义务履行情况所需的过程。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cs="Times New Roman"/>
                <w:highlight w:val="none"/>
                <w:u w:val="single"/>
                <w:lang w:eastAsia="zh-CN"/>
              </w:rPr>
              <w:t>2022年1月25日</w:t>
            </w:r>
          </w:p>
          <w:p>
            <w:pPr>
              <w:rPr>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宋体" w:hAnsi="宋体" w:eastAsia="宋体" w:cs="宋体"/>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imes New Roman" w:hAnsi="Times New Roman" w:eastAsia="宋体" w:cs="Times New Roman"/>
                <w:color w:val="000000"/>
                <w:szCs w:val="18"/>
                <w:u w:val="single"/>
                <w:lang w:eastAsia="zh-CN"/>
              </w:rPr>
              <w:t xml:space="preserve"> </w:t>
            </w:r>
            <w:r>
              <w:rPr>
                <w:rFonts w:hint="eastAsia" w:cs="Times New Roman"/>
                <w:color w:val="000000"/>
                <w:szCs w:val="18"/>
                <w:u w:val="single"/>
                <w:lang w:eastAsia="zh-CN"/>
              </w:rPr>
              <w:t>2022年2月10日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最高管理者已按策划的时间间隔，在</w:t>
            </w:r>
            <w:r>
              <w:rPr>
                <w:rFonts w:hint="eastAsia" w:cs="Times New Roman"/>
                <w:color w:val="000000"/>
                <w:szCs w:val="18"/>
                <w:highlight w:val="none"/>
                <w:u w:val="single"/>
                <w:lang w:eastAsia="zh-CN"/>
              </w:rPr>
              <w:t>2022年2月20日</w:t>
            </w:r>
            <w:r>
              <w:rPr>
                <w:rFonts w:hint="eastAsia"/>
                <w:highlight w:val="none"/>
              </w:rPr>
              <w:t>对组织的职业健康安全管理体系进行了评审，以确保其持续的适宜性、充分性和有效性；管理评审输入、输出均按要求提供。并对提出的改进措施进行了落实。</w:t>
            </w:r>
          </w:p>
          <w:p>
            <w:pPr>
              <w:rPr>
                <w:highlight w:val="none"/>
              </w:rPr>
            </w:pPr>
          </w:p>
          <w:p>
            <w:pPr>
              <w:rPr>
                <w:highlight w:val="none"/>
              </w:rPr>
            </w:pPr>
            <w:r>
              <w:rPr>
                <w:rFonts w:hint="eastAsia"/>
                <w:highlight w:val="none"/>
              </w:rPr>
              <w:t>组织将管理评审的改进措施的信息沟通给：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 xml:space="preserve">员工代表 </w:t>
            </w:r>
            <w:r>
              <w:rPr>
                <w:rFonts w:hint="eastAsia" w:ascii="Wingdings" w:hAnsi="Wingdings"/>
                <w:highlight w:val="none"/>
                <w:lang w:eastAsia="zh-CN"/>
              </w:rPr>
              <w:t>□</w:t>
            </w:r>
            <w:r>
              <w:rPr>
                <w:rFonts w:hint="eastAsia"/>
                <w:highlight w:val="none"/>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highlight w:val="none"/>
              </w:rPr>
            </w:pPr>
          </w:p>
        </w:tc>
        <w:tc>
          <w:tcPr>
            <w:tcW w:w="8748" w:type="dxa"/>
            <w:shd w:val="clear" w:color="auto" w:fill="F2DCDC" w:themeFill="accent2" w:themeFillTint="32"/>
          </w:tcPr>
          <w:p>
            <w:pPr>
              <w:rPr>
                <w:highlight w:val="none"/>
              </w:rPr>
            </w:pPr>
            <w:r>
              <w:rPr>
                <w:rFonts w:hint="eastAsia"/>
                <w:highlight w:val="none"/>
              </w:rPr>
              <w:t>组织持续改进了职业健康安全管理体系的适宜性、充分性和有效性，保留了作为持续改进证据的文件化信息 。</w:t>
            </w:r>
          </w:p>
          <w:p>
            <w:pPr>
              <w:rPr>
                <w:highlight w:val="none"/>
              </w:rPr>
            </w:pPr>
            <w:r>
              <w:rPr>
                <w:rFonts w:hint="eastAsia"/>
                <w:highlight w:val="none"/>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4" w:name="_GoBack" w:colFirst="1" w:colLast="3"/>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8530ED9"/>
    <w:rsid w:val="2AC0223F"/>
    <w:rsid w:val="3BD03679"/>
    <w:rsid w:val="7E283E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kern w:val="0"/>
      <w:sz w:val="24"/>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2022-03-16T04:54:40Z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