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231"/>
        <w:gridCol w:w="185"/>
        <w:gridCol w:w="86"/>
        <w:gridCol w:w="1004"/>
        <w:gridCol w:w="934"/>
        <w:gridCol w:w="511"/>
        <w:gridCol w:w="507"/>
        <w:gridCol w:w="293"/>
        <w:gridCol w:w="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重庆森利低温设备有限公司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重庆市沙坪坝区井口工业园区井华路8号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重庆市沙坪坝区井口工业园区井华路8号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雷林林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13629798627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575581343@qq.com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bookmarkStart w:id="7" w:name="法人"/>
            <w:r>
              <w:rPr>
                <w:sz w:val="21"/>
                <w:szCs w:val="21"/>
              </w:rPr>
              <w:t>雷林林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0176-2022-EO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E：低温常压储槽设备、一体化水处理设备、通用非标常压设备的销售所涉及场所的相关环境管理活动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O：低温常压储槽设备、一体化水处理设备、通用非标常压设备的销售所涉及场所的相关职业健康安全管理活动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2022年03月15日 上午至2022年03月15日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5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4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2"/>
            <w:vAlign w:val="center"/>
          </w:tcPr>
          <w:p/>
        </w:tc>
        <w:tc>
          <w:tcPr>
            <w:tcW w:w="155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83820</wp:posOffset>
                  </wp:positionV>
                  <wp:extent cx="652145" cy="328930"/>
                  <wp:effectExtent l="0" t="0" r="8255" b="127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0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31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3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3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2022年03月1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75"/>
        <w:gridCol w:w="880"/>
        <w:gridCol w:w="631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  <w:p>
            <w:pPr>
              <w:snapToGrid w:val="0"/>
              <w:spacing w:line="320" w:lineRule="exact"/>
              <w:rPr>
                <w:color w:val="auto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93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（午餐时间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2:3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313" w:type="dxa"/>
          </w:tcPr>
          <w:p>
            <w:pPr>
              <w:spacing w:line="300" w:lineRule="exact"/>
              <w:rPr>
                <w:rFonts w:hint="eastAsia"/>
                <w:color w:val="auto"/>
                <w:spacing w:val="-2"/>
                <w:sz w:val="20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0"/>
              </w:rPr>
              <w:t xml:space="preserve">EMS </w:t>
            </w:r>
            <w:r>
              <w:rPr>
                <w:rFonts w:hint="eastAsia"/>
                <w:color w:val="auto"/>
                <w:spacing w:val="-2"/>
                <w:sz w:val="20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color w:val="auto"/>
                <w:spacing w:val="-2"/>
                <w:sz w:val="20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（含财务）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6.2目标及其达成的策划；6.1.2环境因素；6.1.3合规义务；7.1资源;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： 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pStyle w:val="2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bookmarkStart w:id="34" w:name="_GoBack"/>
            <w:bookmarkEnd w:id="34"/>
          </w:p>
        </w:tc>
        <w:tc>
          <w:tcPr>
            <w:tcW w:w="88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技术部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6313" w:type="dxa"/>
            <w:vAlign w:val="top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19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00FA4"/>
    <w:rsid w:val="19834E7B"/>
    <w:rsid w:val="77FB3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2022-03-14T05:38:20Z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