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0223-2022-QE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湖州南浔新世强木业有限公司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2022年07月18日 下午至2022年07月19日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val="en-US"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val="en-US"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5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560" w:type="dxa"/>
            <w:vAlign w:val="center"/>
          </w:tcPr>
          <w:p>
            <w:pPr>
              <w:spacing w:line="240" w:lineRule="exact"/>
              <w:jc w:val="center"/>
              <w:rPr>
                <w:b/>
                <w:color w:val="000000"/>
                <w:szCs w:val="21"/>
              </w:rPr>
            </w:pPr>
            <w:r>
              <w:rPr>
                <w:rFonts w:hint="eastAsia"/>
                <w:szCs w:val="21"/>
              </w:rPr>
              <w:t>专业代码</w:t>
            </w:r>
          </w:p>
        </w:tc>
        <w:tc>
          <w:tcPr>
            <w:tcW w:w="66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tc>
        <w:tc>
          <w:tcPr>
            <w:tcW w:w="1560" w:type="dxa"/>
            <w:vAlign w:val="center"/>
          </w:tcPr>
          <w:p>
            <w:pPr>
              <w:spacing w:line="240" w:lineRule="exact"/>
              <w:jc w:val="center"/>
              <w:rPr>
                <w:b/>
                <w:color w:val="000000"/>
                <w:szCs w:val="21"/>
              </w:rPr>
            </w:pPr>
          </w:p>
        </w:tc>
        <w:tc>
          <w:tcPr>
            <w:tcW w:w="66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方继欣</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ISC-JSZJ-135</w:t>
            </w:r>
          </w:p>
          <w:p>
            <w:pPr>
              <w:spacing w:line="240" w:lineRule="exact"/>
              <w:jc w:val="center"/>
              <w:rPr>
                <w:b/>
                <w:color w:val="000000"/>
                <w:szCs w:val="21"/>
              </w:rPr>
            </w:pPr>
            <w:r>
              <w:rPr>
                <w:b/>
                <w:color w:val="000000"/>
                <w:szCs w:val="21"/>
              </w:rPr>
              <w:t>ISC-JSZJ-135</w:t>
            </w:r>
          </w:p>
          <w:p>
            <w:pPr>
              <w:spacing w:line="240" w:lineRule="exact"/>
              <w:jc w:val="center"/>
              <w:rPr>
                <w:b/>
                <w:color w:val="000000"/>
                <w:szCs w:val="21"/>
              </w:rPr>
            </w:pPr>
            <w:r>
              <w:rPr>
                <w:b/>
                <w:color w:val="000000"/>
                <w:szCs w:val="21"/>
              </w:rPr>
              <w:t>浙江森林之星文化地板有限公司</w:t>
            </w:r>
          </w:p>
        </w:tc>
        <w:tc>
          <w:tcPr>
            <w:tcW w:w="1560" w:type="dxa"/>
            <w:vAlign w:val="center"/>
          </w:tcPr>
          <w:p>
            <w:pPr>
              <w:spacing w:line="240" w:lineRule="exact"/>
              <w:jc w:val="center"/>
              <w:rPr>
                <w:b/>
                <w:color w:val="000000"/>
                <w:szCs w:val="21"/>
              </w:rPr>
            </w:pPr>
            <w:r>
              <w:rPr>
                <w:b/>
                <w:color w:val="000000"/>
                <w:szCs w:val="21"/>
              </w:rPr>
              <w:t>Q:06.02.02</w:t>
            </w:r>
          </w:p>
          <w:p>
            <w:pPr>
              <w:spacing w:line="240" w:lineRule="exact"/>
              <w:jc w:val="center"/>
              <w:rPr>
                <w:b/>
                <w:color w:val="000000"/>
                <w:szCs w:val="21"/>
              </w:rPr>
            </w:pPr>
            <w:r>
              <w:rPr>
                <w:b/>
                <w:color w:val="000000"/>
                <w:szCs w:val="21"/>
              </w:rPr>
              <w:t>E:06.02.02</w:t>
            </w:r>
          </w:p>
        </w:tc>
        <w:tc>
          <w:tcPr>
            <w:tcW w:w="66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560" w:type="dxa"/>
            <w:vAlign w:val="center"/>
          </w:tcPr>
          <w:p>
            <w:pPr>
              <w:rPr>
                <w:b/>
                <w:color w:val="000000"/>
                <w:szCs w:val="21"/>
              </w:rPr>
            </w:pPr>
          </w:p>
        </w:tc>
        <w:tc>
          <w:tcPr>
            <w:tcW w:w="6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560" w:type="dxa"/>
            <w:vAlign w:val="center"/>
          </w:tcPr>
          <w:p>
            <w:pPr>
              <w:rPr>
                <w:b/>
                <w:color w:val="000000"/>
                <w:szCs w:val="21"/>
              </w:rPr>
            </w:pPr>
          </w:p>
        </w:tc>
        <w:tc>
          <w:tcPr>
            <w:tcW w:w="6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560" w:type="dxa"/>
            <w:vAlign w:val="center"/>
          </w:tcPr>
          <w:p>
            <w:pPr>
              <w:rPr>
                <w:b/>
                <w:color w:val="000000"/>
                <w:szCs w:val="21"/>
              </w:rPr>
            </w:pPr>
          </w:p>
        </w:tc>
        <w:tc>
          <w:tcPr>
            <w:tcW w:w="6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560" w:type="dxa"/>
            <w:vAlign w:val="center"/>
          </w:tcPr>
          <w:p>
            <w:pPr>
              <w:rPr>
                <w:b/>
                <w:color w:val="000000"/>
                <w:szCs w:val="21"/>
              </w:rPr>
            </w:pPr>
          </w:p>
        </w:tc>
        <w:tc>
          <w:tcPr>
            <w:tcW w:w="66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湖州南浔新世强木业有限公司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浙江省湖州市南浔经济开发区综园路9号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313009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浙江省湖州市南浔经济开发区综园路9号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313009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朱玉泉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13905724678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徐水荣</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朱玉泉</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实木复合地板</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jc w:val="left"/>
              <w:rPr>
                <w:rFonts w:ascii="宋体"/>
                <w:color w:val="000000"/>
                <w:szCs w:val="21"/>
              </w:rPr>
            </w:pPr>
            <w:r>
              <w:rPr>
                <w:rFonts w:hint="eastAsia"/>
                <w:b/>
                <w:sz w:val="20"/>
                <w:lang w:val="en-US" w:eastAsia="zh-CN"/>
              </w:rPr>
              <w:t>开槽→砂光→封边→砂光→淋涂底漆→光固化→砂光→淋涂面漆→光固化→砂光→质检包装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rPr>
                <w:b/>
                <w:bCs/>
                <w:sz w:val="21"/>
                <w:szCs w:val="21"/>
              </w:rPr>
              <w:t>Q：实木复合地板加工</w:t>
            </w:r>
            <w:bookmarkEnd w:id="35"/>
          </w:p>
        </w:tc>
        <w:tc>
          <w:tcPr>
            <w:tcW w:w="2006" w:type="dxa"/>
            <w:gridSpan w:val="3"/>
            <w:vAlign w:val="center"/>
          </w:tcPr>
          <w:p>
            <w:pPr>
              <w:spacing w:line="400" w:lineRule="exact"/>
              <w:rPr>
                <w:rFonts w:ascii="宋体" w:hAnsi="宋体"/>
                <w:b/>
                <w:color w:val="000000"/>
                <w:szCs w:val="21"/>
              </w:rPr>
            </w:pPr>
            <w:r>
              <w:rPr>
                <w:b/>
                <w:bCs/>
                <w:sz w:val="21"/>
                <w:szCs w:val="21"/>
              </w:rPr>
              <w:t>06.02.02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b/>
                <w:bCs/>
                <w:sz w:val="21"/>
                <w:szCs w:val="21"/>
              </w:rPr>
              <w:t>E：实木复合地板加工所涉及场所的相关环境管理活动</w:t>
            </w:r>
          </w:p>
        </w:tc>
        <w:tc>
          <w:tcPr>
            <w:tcW w:w="2006" w:type="dxa"/>
            <w:gridSpan w:val="3"/>
            <w:vAlign w:val="center"/>
          </w:tcPr>
          <w:p>
            <w:pPr>
              <w:spacing w:line="400" w:lineRule="exact"/>
              <w:rPr>
                <w:rFonts w:ascii="宋体" w:hAnsi="宋体"/>
                <w:b/>
                <w:color w:val="000000"/>
                <w:szCs w:val="21"/>
              </w:rPr>
            </w:pPr>
            <w:r>
              <w:rPr>
                <w:b/>
                <w:bCs/>
                <w:sz w:val="21"/>
                <w:szCs w:val="21"/>
              </w:rPr>
              <w:t>06.02.02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61"/>
        <w:gridCol w:w="14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6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湖州南浔新世强木业有限公司</w:t>
            </w:r>
            <w:r>
              <w:rPr>
                <w:rFonts w:hint="eastAsia" w:ascii="宋体"/>
                <w:b/>
                <w:color w:val="000000"/>
                <w:szCs w:val="21"/>
                <w:lang w:val="en-US" w:eastAsia="zh-CN"/>
              </w:rPr>
              <w:t>/</w:t>
            </w:r>
            <w:r>
              <w:rPr>
                <w:rFonts w:ascii="宋体"/>
                <w:b/>
                <w:color w:val="000000"/>
                <w:szCs w:val="21"/>
              </w:rPr>
              <w:t>浙江省湖州市南浔经济开发区综园路9号</w:t>
            </w:r>
          </w:p>
        </w:tc>
        <w:tc>
          <w:tcPr>
            <w:tcW w:w="2267" w:type="dxa"/>
          </w:tcPr>
          <w:p>
            <w:pPr>
              <w:spacing w:before="40" w:after="40"/>
              <w:rPr>
                <w:rFonts w:eastAsia="黑体"/>
                <w:szCs w:val="21"/>
                <w:lang w:val="de-DE" w:eastAsia="ja-JP"/>
              </w:rPr>
            </w:pPr>
            <w:r>
              <w:rPr>
                <w:rFonts w:ascii="宋体"/>
                <w:b/>
                <w:color w:val="000000"/>
                <w:szCs w:val="21"/>
              </w:rPr>
              <w:t>浙江省湖州市南浔经济开发区综园路9号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061" w:type="dxa"/>
            <w:vAlign w:val="center"/>
          </w:tcPr>
          <w:p>
            <w:pPr>
              <w:rPr>
                <w:b/>
                <w:bCs/>
                <w:sz w:val="21"/>
                <w:szCs w:val="21"/>
              </w:rPr>
            </w:pPr>
            <w:r>
              <w:rPr>
                <w:b/>
                <w:bCs/>
                <w:sz w:val="21"/>
                <w:szCs w:val="21"/>
              </w:rPr>
              <w:t>Q：实木复合地板加工</w:t>
            </w:r>
          </w:p>
          <w:p>
            <w:pPr>
              <w:pStyle w:val="19"/>
              <w:rPr>
                <w:rFonts w:eastAsia="黑体" w:cs="Arial"/>
                <w:sz w:val="21"/>
                <w:szCs w:val="21"/>
                <w:lang w:val="en-US" w:eastAsia="ja-JP"/>
              </w:rPr>
            </w:pPr>
            <w:r>
              <w:rPr>
                <w:b/>
                <w:bCs/>
                <w:sz w:val="21"/>
                <w:szCs w:val="21"/>
              </w:rPr>
              <w:t>E：实木复合地板加工所涉及场所的相关环境管理活动</w:t>
            </w:r>
          </w:p>
        </w:tc>
        <w:tc>
          <w:tcPr>
            <w:tcW w:w="1411" w:type="dxa"/>
            <w:vAlign w:val="center"/>
          </w:tcPr>
          <w:p>
            <w:pPr>
              <w:rPr>
                <w:rFonts w:ascii="宋体" w:hAnsi="宋体"/>
                <w:b/>
                <w:color w:val="000000"/>
                <w:szCs w:val="21"/>
                <w:lang w:val="de-DE"/>
              </w:rPr>
            </w:pPr>
            <w:r>
              <w:rPr>
                <w:rFonts w:hint="eastAsia" w:ascii="宋体" w:hAnsi="宋体"/>
                <w:b/>
                <w:color w:val="000000"/>
                <w:szCs w:val="21"/>
                <w:lang w:val="de-DE"/>
              </w:rPr>
              <w:t>■GB/T19001-2016■GB/T24001-2016</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61" w:type="dxa"/>
            <w:vAlign w:val="center"/>
          </w:tcPr>
          <w:p>
            <w:pPr>
              <w:spacing w:before="40" w:after="40"/>
              <w:rPr>
                <w:rFonts w:eastAsia="黑体"/>
                <w:szCs w:val="21"/>
                <w:lang w:eastAsia="ja-JP"/>
              </w:rPr>
            </w:pPr>
          </w:p>
        </w:tc>
        <w:tc>
          <w:tcPr>
            <w:tcW w:w="141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eastAsia="宋体" w:cs="Times New Roman"/>
                <w:b/>
                <w:color w:val="000000"/>
                <w:szCs w:val="21"/>
                <w:lang w:val="en-US" w:eastAsia="zh-CN"/>
              </w:rPr>
              <w:t>2021</w:t>
            </w:r>
            <w:r>
              <w:rPr>
                <w:rFonts w:hint="eastAsia" w:ascii="宋体" w:hAnsi="宋体" w:eastAsia="宋体" w:cs="Times New Roman"/>
                <w:b/>
                <w:color w:val="000000"/>
                <w:szCs w:val="21"/>
              </w:rPr>
              <w:t>年</w:t>
            </w:r>
            <w:r>
              <w:rPr>
                <w:rFonts w:hint="eastAsia" w:ascii="宋体" w:hAnsi="宋体" w:eastAsia="宋体" w:cs="Times New Roman"/>
                <w:b/>
                <w:color w:val="000000"/>
                <w:szCs w:val="21"/>
                <w:lang w:val="en-US" w:eastAsia="zh-CN"/>
              </w:rPr>
              <w:t>12</w:t>
            </w:r>
            <w:r>
              <w:rPr>
                <w:rFonts w:hint="eastAsia" w:ascii="宋体" w:hAnsi="宋体" w:eastAsia="宋体" w:cs="Times New Roman"/>
                <w:b/>
                <w:color w:val="000000"/>
                <w:szCs w:val="21"/>
              </w:rPr>
              <w:t>月</w:t>
            </w:r>
            <w:r>
              <w:rPr>
                <w:rFonts w:hint="eastAsia" w:ascii="宋体" w:hAnsi="宋体" w:eastAsia="宋体" w:cs="Times New Roman"/>
                <w:b/>
                <w:color w:val="000000"/>
                <w:szCs w:val="21"/>
                <w:lang w:val="en-US" w:eastAsia="zh-CN"/>
              </w:rPr>
              <w:t>2</w:t>
            </w:r>
            <w:r>
              <w:rPr>
                <w:rFonts w:hint="eastAsia" w:ascii="宋体" w:hAnsi="宋体" w:eastAsia="宋体" w:cs="Times New Roman"/>
                <w:b/>
                <w:color w:val="000000"/>
                <w:szCs w:val="21"/>
              </w:rPr>
              <w:t>日</w:t>
            </w:r>
            <w:r>
              <w:rPr>
                <w:rFonts w:hint="eastAsia" w:ascii="宋体" w:hAnsi="宋体" w:eastAsia="宋体" w:cs="Times New Roman"/>
                <w:b/>
                <w:color w:val="000000"/>
                <w:szCs w:val="21"/>
                <w:lang w:val="en-US" w:eastAsia="zh-CN"/>
              </w:rPr>
              <w:t>-3日</w:t>
            </w:r>
            <w:r>
              <w:rPr>
                <w:rFonts w:hint="eastAsia" w:ascii="宋体" w:hAnsi="宋体" w:eastAsia="宋体" w:cs="Times New Roman"/>
                <w:b/>
                <w:color w:val="000000"/>
                <w:szCs w:val="21"/>
              </w:rPr>
              <w:t>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lang w:val="en-US" w:eastAsia="zh-CN" w:bidi="ar-SA"/>
              </w:rPr>
              <w:t>2021年12月28日完成</w:t>
            </w:r>
            <w:r>
              <w:rPr>
                <w:rFonts w:hint="eastAsia" w:ascii="宋体" w:hAnsi="宋体" w:eastAsia="宋体"/>
                <w:color w:val="000000"/>
                <w:sz w:val="21"/>
                <w:szCs w:val="21"/>
                <w:lang w:val="en-US" w:eastAsia="zh-CN"/>
              </w:rPr>
              <w:t>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w:t>
            </w:r>
            <w:r>
              <w:rPr>
                <w:rFonts w:hint="eastAsia" w:ascii="宋体"/>
                <w:color w:val="000000"/>
                <w:spacing w:val="-10"/>
                <w:szCs w:val="21"/>
                <w:lang w:val="en-US" w:eastAsia="zh-CN"/>
              </w:rPr>
              <w:t>治理</w:t>
            </w:r>
            <w:r>
              <w:rPr>
                <w:rFonts w:hint="eastAsia" w:ascii="宋体"/>
                <w:color w:val="000000"/>
                <w:spacing w:val="-10"/>
                <w:szCs w:val="21"/>
              </w:rPr>
              <w:t>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lang w:val="en-US" w:eastAsia="zh-CN"/>
        </w:rPr>
        <w:t>七</w:t>
      </w:r>
      <w:r>
        <w:rPr>
          <w:rFonts w:hint="eastAsia" w:ascii="宋体" w:hAnsi="宋体"/>
          <w:b/>
          <w:color w:val="000000"/>
          <w:spacing w:val="-2"/>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w:t>
            </w:r>
            <w:bookmarkEnd w:id="36"/>
            <w:r>
              <w:rPr>
                <w:rFonts w:hint="eastAsia" w:ascii="宋体"/>
                <w:b/>
                <w:color w:val="000000"/>
                <w:szCs w:val="21"/>
                <w:lang w:val="en-US" w:eastAsia="zh-CN"/>
              </w:rPr>
              <w:t>2.7.20上午至2022.7.23中午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lang w:val="en-US" w:eastAsia="zh-CN"/>
        </w:rPr>
        <w:drawing>
          <wp:anchor distT="0" distB="0" distL="114300" distR="114300" simplePos="0" relativeHeight="251663360" behindDoc="0" locked="0" layoutInCell="1" allowOverlap="1">
            <wp:simplePos x="0" y="0"/>
            <wp:positionH relativeFrom="column">
              <wp:posOffset>4349750</wp:posOffset>
            </wp:positionH>
            <wp:positionV relativeFrom="paragraph">
              <wp:posOffset>242570</wp:posOffset>
            </wp:positionV>
            <wp:extent cx="800100" cy="457200"/>
            <wp:effectExtent l="0" t="0" r="0" b="0"/>
            <wp:wrapSquare wrapText="bothSides"/>
            <wp:docPr id="3" name="图片 2" descr="方继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方继欣"/>
                    <pic:cNvPicPr>
                      <a:picLocks noChangeAspect="1"/>
                    </pic:cNvPicPr>
                  </pic:nvPicPr>
                  <pic:blipFill>
                    <a:blip r:embed="rId6"/>
                    <a:stretch>
                      <a:fillRect/>
                    </a:stretch>
                  </pic:blipFill>
                  <pic:spPr>
                    <a:xfrm>
                      <a:off x="0" y="0"/>
                      <a:ext cx="800100" cy="4572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2018665</wp:posOffset>
            </wp:positionH>
            <wp:positionV relativeFrom="paragraph">
              <wp:posOffset>259080</wp:posOffset>
            </wp:positionV>
            <wp:extent cx="864870" cy="565150"/>
            <wp:effectExtent l="0" t="0" r="11430" b="6350"/>
            <wp:wrapSquare wrapText="bothSides"/>
            <wp:docPr id="2" name="图片 2"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底"/>
                    <pic:cNvPicPr>
                      <a:picLocks noChangeAspect="1"/>
                    </pic:cNvPicPr>
                  </pic:nvPicPr>
                  <pic:blipFill>
                    <a:blip r:embed="rId7"/>
                    <a:stretch>
                      <a:fillRect/>
                    </a:stretch>
                  </pic:blipFill>
                  <pic:spPr>
                    <a:xfrm>
                      <a:off x="0" y="0"/>
                      <a:ext cx="864870" cy="5651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bookmarkStart w:id="37" w:name="_GoBack"/>
      <w:bookmarkEnd w:id="37"/>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Lucida Sans">
    <w:panose1 w:val="020B0602040502020204"/>
    <w:charset w:val="00"/>
    <w:family w:val="swiss"/>
    <w:pitch w:val="default"/>
    <w:sig w:usb0="8100AAF7" w:usb1="0000807B" w:usb2="00000008" w:usb3="00000000" w:csb0="6000009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03AF5FB2"/>
    <w:rsid w:val="091A64C0"/>
    <w:rsid w:val="1C132D07"/>
    <w:rsid w:val="223E5A3E"/>
    <w:rsid w:val="25EB42DB"/>
    <w:rsid w:val="27FE1B74"/>
    <w:rsid w:val="31310B1D"/>
    <w:rsid w:val="378F57C0"/>
    <w:rsid w:val="3A2013F5"/>
    <w:rsid w:val="4C3E24B6"/>
    <w:rsid w:val="58C61F1A"/>
    <w:rsid w:val="603145CD"/>
    <w:rsid w:val="6B3D5D23"/>
    <w:rsid w:val="6BE200D3"/>
    <w:rsid w:val="746A1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2022-08-03T04:43:28Z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