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300"/>
        <w:gridCol w:w="277"/>
        <w:gridCol w:w="313"/>
        <w:gridCol w:w="555"/>
        <w:gridCol w:w="646"/>
        <w:gridCol w:w="618"/>
        <w:gridCol w:w="129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杭州瑞霖化工有限公司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浙江省杭州市桐庐县城洋塘路279号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浙江省杭州市桐庐县城洋塘路279号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0188-2022-EO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陈永富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0571-64611770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396263365@qq.com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>
            <w:bookmarkStart w:id="14" w:name="管理者代表"/>
            <w:r>
              <w:t>陈永富</w:t>
            </w:r>
            <w:bookmarkEnd w:id="14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bookmarkStart w:id="15" w:name="管代电话"/>
            <w:bookmarkEnd w:id="15"/>
          </w:p>
        </w:tc>
        <w:tc>
          <w:tcPr>
            <w:tcW w:w="618" w:type="dxa"/>
            <w:vMerge w:val="continue"/>
            <w:vAlign w:val="center"/>
          </w:tcPr>
          <w:p/>
        </w:tc>
        <w:tc>
          <w:tcPr>
            <w:tcW w:w="1213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E:一阶段现场,O:一阶段现场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4"/>
              </w:rPr>
              <w:t>■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现场审核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远程审核</w:t>
            </w:r>
            <w:bookmarkStart w:id="17" w:name="非现场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□非现场  □现场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□网络□智能手机□台式电脑□笔记本电脑□录像机□照相机□可穿戴设备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>
            <w:bookmarkStart w:id="18" w:name="审核范围"/>
            <w:r>
              <w:t>E：SE 系列蔗糖脂肪酸酯、辛烯基琥珀酸淀粉钠（纯胶）、复配糕点乳化剂、微囊粉系列产品的研发、生产所涉及场所的相关环境管理活动</w:t>
            </w:r>
          </w:p>
          <w:p>
            <w:r>
              <w:t>O：SE 系列蔗糖脂肪酸酯、辛烯基琥珀酸淀粉钠（纯胶）、复配糕 点乳化剂、微囊粉系列产品的研发、生产所涉及场所的相关职业健康安管理活动</w:t>
            </w:r>
            <w:bookmarkEnd w:id="18"/>
          </w:p>
        </w:tc>
        <w:tc>
          <w:tcPr>
            <w:tcW w:w="1201" w:type="dxa"/>
            <w:gridSpan w:val="2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bookmarkStart w:id="19" w:name="专业代码"/>
            <w:r>
              <w:t>E：12.01.04</w:t>
            </w:r>
          </w:p>
          <w:p>
            <w:r>
              <w:t>O：12.01.04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0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21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3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23331-2020/ISO50001：2018标准□RB/T       （行业认证标准）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FSMS：</w:t>
            </w:r>
            <w:bookmarkStart w:id="25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ISO22000：2018             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HACCP：</w:t>
            </w:r>
            <w:bookmarkStart w:id="26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7" w:name="审核日期"/>
            <w:r>
              <w:rPr>
                <w:rFonts w:hint="eastAsia"/>
                <w:b/>
                <w:sz w:val="21"/>
                <w:szCs w:val="21"/>
              </w:rPr>
              <w:t>2022年03月22日 上午至2022年03月23日 上午</w:t>
            </w:r>
            <w:bookmarkEnd w:id="27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28" w:name="审核天数"/>
            <w:r>
              <w:rPr>
                <w:rFonts w:hint="eastAsia"/>
                <w:b/>
                <w:sz w:val="21"/>
                <w:szCs w:val="21"/>
              </w:rPr>
              <w:t>1.5</w:t>
            </w:r>
            <w:bookmarkEnd w:id="28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远程审核于年月日至年月日，共天。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余家龙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2020-N1EMS-1262293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2021-N1OHSMS-1262293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E:12.01.04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O:12.01.04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15181072354 17709081193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林兵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2020-N1EMS-3059501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2019-N1OHSMS-2059501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13588800890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868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29" w:name="总组长Add1"/>
            <w:r>
              <w:rPr>
                <w:sz w:val="21"/>
                <w:szCs w:val="21"/>
              </w:rPr>
              <w:t>余家龙</w:t>
            </w:r>
            <w:bookmarkEnd w:id="29"/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15181072354</w:t>
            </w: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2022.3.21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>
            <w:pPr>
              <w:spacing w:line="360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2022.3.21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389"/>
        <w:gridCol w:w="678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2022.3.22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8:00-8:30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2022.3.22</w:t>
            </w:r>
          </w:p>
        </w:tc>
        <w:tc>
          <w:tcPr>
            <w:tcW w:w="1389" w:type="dxa"/>
            <w:vMerge w:val="restart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8:30-17:00（12：00-13：00午休）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核对资质证书（营业执照、生产（安全）许可证、行业许可证、3C证书等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196" w:type="dxa"/>
            <w:vMerge w:val="restart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林兵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tcBorders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tcBorders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-管理手册；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-文件化的程序；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-作业文件；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-记录表格</w:t>
            </w:r>
          </w:p>
        </w:tc>
        <w:tc>
          <w:tcPr>
            <w:tcW w:w="1196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2022.3.23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8：00-11：30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林兵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2022.3.22</w:t>
            </w:r>
          </w:p>
        </w:tc>
        <w:tc>
          <w:tcPr>
            <w:tcW w:w="1389" w:type="dxa"/>
            <w:vMerge w:val="restart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8：30--17：00</w:t>
            </w: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EMS运行情况：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查看地理位置图、污水管网图（适用时）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>-</w:t>
            </w:r>
            <w:r>
              <w:rPr>
                <w:rFonts w:hint="eastAsia"/>
                <w:szCs w:val="18"/>
              </w:rPr>
              <w:t>了解主要资源和能源使用种类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查看环境因素的识别和评价程序合理性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了解重要环境因素的和控制措施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-了解适用的环境法律和其他要求的获取、识别程序实施情况和合规性评价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-查看合规性证明（9</w:t>
            </w:r>
            <w:r>
              <w:rPr>
                <w:szCs w:val="18"/>
              </w:rPr>
              <w:t>8</w:t>
            </w:r>
            <w:r>
              <w:rPr>
                <w:rFonts w:hint="eastAsia"/>
                <w:szCs w:val="18"/>
              </w:rPr>
              <w:t>年后新扩建的环评验收、环境监测报告）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-了解危险化学品的种类及MSDS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-了解危险废弃物的处置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</w:t>
            </w:r>
            <w:r>
              <w:rPr>
                <w:szCs w:val="18"/>
              </w:rPr>
              <w:t>应急准备和响应情况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>查看《排污许可证》</w:t>
            </w:r>
          </w:p>
        </w:tc>
        <w:tc>
          <w:tcPr>
            <w:tcW w:w="1196" w:type="dxa"/>
            <w:vMerge w:val="restart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余家龙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tcBorders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观察基础设施（环保设备）运行完好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观察环境相关的监视和测量设备的种类并了解检定/校准情况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观察总排口是否存在明显违规现象</w:t>
            </w:r>
          </w:p>
        </w:tc>
        <w:tc>
          <w:tcPr>
            <w:tcW w:w="1196" w:type="dxa"/>
            <w:vMerge w:val="continue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2022.3.23</w:t>
            </w:r>
          </w:p>
        </w:tc>
        <w:tc>
          <w:tcPr>
            <w:tcW w:w="1389" w:type="dxa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8：00-11：30</w:t>
            </w: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OHSMS运行情况：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-查看危险源的辨识和评价程序合理性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-了解重要危险源的辨识和控制措施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了解适用的职业健康安全法律和其他要求的获取、识别程序实施情况和合规性评价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-查看合规性证明（安全评估、职业病评估、作业场所监测、）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-了解三级安全教育的实施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-了解职业病体检的情况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-了解危险化学品的种类及MSDS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了解</w:t>
            </w:r>
            <w:r>
              <w:rPr>
                <w:szCs w:val="18"/>
              </w:rPr>
              <w:t>应急准备和响应情况</w:t>
            </w:r>
          </w:p>
        </w:tc>
        <w:tc>
          <w:tcPr>
            <w:tcW w:w="1196" w:type="dxa"/>
            <w:vMerge w:val="restart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余家龙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观察基础设施完好并运行（安全装置/手持电动工具等）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观察职业健康安全相关的监视和测量设备的种类并了解检定/校准情况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观察员工劳保用品的佩戴情况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了解是否存在室外作业的情况</w:t>
            </w:r>
          </w:p>
        </w:tc>
        <w:tc>
          <w:tcPr>
            <w:tcW w:w="1196" w:type="dxa"/>
            <w:vMerge w:val="continue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11：30</w:t>
            </w: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11：30-12：00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审核组</w:t>
            </w:r>
            <w:bookmarkStart w:id="30" w:name="_GoBack"/>
            <w:bookmarkEnd w:id="30"/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注：根据项目涉及的体系选择上述内容；可将</w:t>
      </w:r>
      <w:r>
        <w:rPr>
          <w:rFonts w:hint="eastAsia"/>
          <w:b/>
          <w:color w:val="FF0000"/>
          <w:sz w:val="28"/>
          <w:szCs w:val="28"/>
        </w:rPr>
        <w:t>无关的</w:t>
      </w:r>
      <w:r>
        <w:rPr>
          <w:rFonts w:hint="eastAsia"/>
          <w:b/>
          <w:sz w:val="28"/>
          <w:szCs w:val="28"/>
        </w:rPr>
        <w:t>体系内容</w:t>
      </w:r>
      <w:r>
        <w:rPr>
          <w:rFonts w:hint="eastAsia"/>
          <w:b/>
          <w:color w:val="FF0000"/>
          <w:sz w:val="28"/>
          <w:szCs w:val="28"/>
        </w:rPr>
        <w:t>删除</w:t>
      </w:r>
      <w:r>
        <w:rPr>
          <w:rFonts w:hint="eastAsia"/>
          <w:b/>
          <w:sz w:val="28"/>
          <w:szCs w:val="28"/>
        </w:rPr>
        <w:t>！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若是全日审核，请明确午餐时间！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70.05pt;margin-top:3.85pt;height:20.2pt;width:117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63361B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550</Words>
  <Characters>3139</Characters>
  <Lines>26</Lines>
  <Paragraphs>7</Paragraphs>
  <TotalTime>2</TotalTime>
  <ScaleCrop>false</ScaleCrop>
  <LinksUpToDate>false</LinksUpToDate>
  <CharactersWithSpaces>3682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way一直都在</cp:lastModifiedBy>
  <cp:lastPrinted>2019-03-27T03:10:00Z</cp:lastPrinted>
  <dcterms:modified xsi:type="dcterms:W3CDTF">2022-03-22T02:53:05Z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2052-11.1.0.11365</vt:lpwstr>
  </property>
</Properties>
</file>