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0114-2020-QEO-2022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遂宁市蓝盾有害生物防治有限公司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遂宁市蓝盾有害生物防治有限公司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遂宁市船山区燕山路113附14号第一层</w:t>
            </w:r>
            <w:bookmarkEnd w:id="6"/>
          </w:p>
        </w:tc>
        <w:tc>
          <w:tcPr>
            <w:tcW w:w="1242" w:type="dxa"/>
            <w:vMerge w:val="restart"/>
            <w:vAlign w:val="center"/>
          </w:tcPr>
          <w:p>
            <w:r>
              <w:rPr>
                <w:rFonts w:hint="eastAsia"/>
              </w:rPr>
              <w:t>邮编</w:t>
            </w:r>
          </w:p>
        </w:tc>
        <w:tc>
          <w:tcPr>
            <w:tcW w:w="1771" w:type="dxa"/>
          </w:tcPr>
          <w:p>
            <w:bookmarkStart w:id="7" w:name="注册邮编"/>
            <w:r>
              <w:t>629000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遂宁市船山区燕山路113附14号第一层</w:t>
            </w:r>
            <w:bookmarkEnd w:id="8"/>
          </w:p>
        </w:tc>
        <w:tc>
          <w:tcPr>
            <w:tcW w:w="1242" w:type="dxa"/>
            <w:vMerge w:val="continue"/>
            <w:vAlign w:val="center"/>
          </w:tcPr>
          <w:p/>
        </w:tc>
        <w:tc>
          <w:tcPr>
            <w:tcW w:w="1771" w:type="dxa"/>
          </w:tcPr>
          <w:p>
            <w:bookmarkStart w:id="9" w:name="办公邮编"/>
            <w:r>
              <w:t>629000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李理</w:t>
            </w:r>
            <w:bookmarkEnd w:id="10"/>
          </w:p>
        </w:tc>
        <w:tc>
          <w:tcPr>
            <w:tcW w:w="1313" w:type="dxa"/>
            <w:vAlign w:val="center"/>
          </w:tcPr>
          <w:p>
            <w:r>
              <w:rPr>
                <w:rFonts w:hint="eastAsia"/>
              </w:rPr>
              <w:t>电话.</w:t>
            </w:r>
          </w:p>
        </w:tc>
        <w:tc>
          <w:tcPr>
            <w:tcW w:w="2180" w:type="dxa"/>
            <w:vAlign w:val="center"/>
          </w:tcPr>
          <w:p>
            <w:bookmarkStart w:id="11" w:name="联系人电话"/>
            <w:r>
              <w:t>0825-2282628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李理</w:t>
            </w:r>
            <w:bookmarkEnd w:id="13"/>
          </w:p>
        </w:tc>
        <w:tc>
          <w:tcPr>
            <w:tcW w:w="1313" w:type="dxa"/>
            <w:vAlign w:val="center"/>
          </w:tcPr>
          <w:p>
            <w:r>
              <w:rPr>
                <w:rFonts w:hint="eastAsia"/>
              </w:rPr>
              <w:t>管理者代表</w:t>
            </w:r>
          </w:p>
        </w:tc>
        <w:tc>
          <w:tcPr>
            <w:tcW w:w="2180" w:type="dxa"/>
          </w:tcPr>
          <w:p>
            <w:bookmarkStart w:id="14" w:name="管理者代表"/>
            <w:r>
              <w:t>黄俊强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cs="Times New Roman"/>
                <w:color w:val="auto"/>
              </w:rPr>
            </w:pPr>
            <w:r>
              <w:rPr>
                <w:rFonts w:hint="eastAsia" w:ascii="Times New Roman" w:hAnsi="Times New Roman" w:cs="Times New Roman"/>
                <w:color w:val="auto"/>
              </w:rPr>
              <w:t>生产/服务提供流程简图</w:t>
            </w:r>
          </w:p>
          <w:p>
            <w:pPr>
              <w:rPr>
                <w:rFonts w:hint="eastAsia" w:ascii="Times New Roman" w:hAnsi="Times New Roman" w:cs="Times New Roman"/>
                <w:color w:val="auto"/>
              </w:rPr>
            </w:pPr>
          </w:p>
          <w:p>
            <w:pPr>
              <w:rPr>
                <w:rFonts w:hint="eastAsia" w:ascii="Times New Roman" w:hAnsi="Times New Roman" w:cs="Times New Roman"/>
                <w:color w:val="auto"/>
              </w:rPr>
            </w:pPr>
          </w:p>
        </w:tc>
        <w:tc>
          <w:tcPr>
            <w:tcW w:w="8058" w:type="dxa"/>
            <w:gridSpan w:val="5"/>
            <w:shd w:val="clear" w:color="auto" w:fill="auto"/>
          </w:tcPr>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服务流程：</w:t>
            </w:r>
          </w:p>
          <w:p>
            <w:pPr>
              <w:rPr>
                <w:rFonts w:hint="eastAsia" w:ascii="Times New Roman" w:hAnsi="Times New Roman" w:cs="Times New Roman"/>
                <w:color w:val="auto"/>
              </w:rPr>
            </w:pPr>
            <w:r>
              <w:rPr>
                <w:rFonts w:hint="eastAsia" w:ascii="Times New Roman" w:hAnsi="Times New Roman" w:cs="Times New Roman"/>
                <w:color w:val="auto"/>
                <w:lang w:eastAsia="zh-CN"/>
              </w:rPr>
              <w:t>客户洽谈--签订合同—现场勘查有害生物危害情况--制定防制实施方案—防治实施—效果监测-客户验收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2022年03月18日 上午至2022年03月19日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遂宁市船山区燕山路113附14号第一层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Q：灭各类有害生物(老鼠、蟑螂、蚊虫、蚁类)服务(需资质除外)。</w:t>
            </w:r>
          </w:p>
          <w:p>
            <w:r>
              <w:t>E：灭各类有害生物(老鼠、蟑螂、蚊虫、蚁类)服务(需资质除外)所涉及场所的相关环境管理活动。</w:t>
            </w:r>
          </w:p>
          <w:p>
            <w:r>
              <w:t>O：灭各类有害生物(老鼠、蟑螂、蚊虫、蚁类)服务(需资质除外)所涉及场所的相关职业健康安全管理活动。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Q：34.06.00</w:t>
            </w:r>
          </w:p>
          <w:p>
            <w:r>
              <w:t>E：34.06.00</w:t>
            </w:r>
          </w:p>
          <w:p>
            <w:r>
              <w:t>O：34.06.00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ascii="Helvetica" w:hAnsi="Helvetica" w:eastAsia="Helvetica" w:cs="Helvetica"/>
                <w:i w:val="0"/>
                <w:iCs w:val="0"/>
                <w:caps w:val="0"/>
                <w:color w:val="000000"/>
                <w:spacing w:val="0"/>
                <w:sz w:val="21"/>
                <w:szCs w:val="21"/>
                <w:shd w:val="clear" w:fill="FFFFFF"/>
              </w:rPr>
              <w:t>2023</w:t>
            </w:r>
            <w:r>
              <w:rPr>
                <w:rFonts w:hint="eastAsia" w:ascii="Helvetica" w:hAnsi="Helvetica" w:cs="Helvetica"/>
                <w:i w:val="0"/>
                <w:iCs w:val="0"/>
                <w:caps w:val="0"/>
                <w:color w:val="000000"/>
                <w:spacing w:val="0"/>
                <w:sz w:val="21"/>
                <w:szCs w:val="21"/>
                <w:shd w:val="clear" w:fill="FFFFFF"/>
                <w:lang w:val="en-US" w:eastAsia="zh-CN"/>
              </w:rPr>
              <w:t>年</w:t>
            </w:r>
            <w:r>
              <w:rPr>
                <w:rFonts w:ascii="Helvetica" w:hAnsi="Helvetica" w:eastAsia="Helvetica" w:cs="Helvetica"/>
                <w:i w:val="0"/>
                <w:iCs w:val="0"/>
                <w:caps w:val="0"/>
                <w:color w:val="000000"/>
                <w:spacing w:val="0"/>
                <w:sz w:val="21"/>
                <w:szCs w:val="21"/>
                <w:shd w:val="clear" w:fill="FFFFFF"/>
              </w:rPr>
              <w:t>04</w:t>
            </w:r>
            <w:r>
              <w:rPr>
                <w:rFonts w:hint="eastAsia" w:ascii="Helvetica" w:hAnsi="Helvetica" w:cs="Helvetica"/>
                <w:i w:val="0"/>
                <w:iCs w:val="0"/>
                <w:caps w:val="0"/>
                <w:color w:val="000000"/>
                <w:spacing w:val="0"/>
                <w:sz w:val="21"/>
                <w:szCs w:val="21"/>
                <w:shd w:val="clear" w:fill="FFFFFF"/>
                <w:lang w:val="en-US" w:eastAsia="zh-CN"/>
              </w:rPr>
              <w:t>月</w:t>
            </w:r>
            <w:r>
              <w:rPr>
                <w:rFonts w:ascii="Helvetica" w:hAnsi="Helvetica" w:eastAsia="Helvetica" w:cs="Helvetica"/>
                <w:i w:val="0"/>
                <w:iCs w:val="0"/>
                <w:caps w:val="0"/>
                <w:color w:val="000000"/>
                <w:spacing w:val="0"/>
                <w:sz w:val="21"/>
                <w:szCs w:val="21"/>
                <w:shd w:val="clear" w:fill="FFFFFF"/>
              </w:rPr>
              <w:t>14</w:t>
            </w:r>
            <w:r>
              <w:rPr>
                <w:rFonts w:hint="eastAsia" w:ascii="Helvetica" w:hAnsi="Helvetica" w:cs="Helvetica"/>
                <w:i w:val="0"/>
                <w:iCs w:val="0"/>
                <w:caps w:val="0"/>
                <w:color w:val="000000"/>
                <w:spacing w:val="0"/>
                <w:sz w:val="21"/>
                <w:szCs w:val="21"/>
                <w:shd w:val="clear" w:fill="FFFFFF"/>
                <w:lang w:val="en-US" w:eastAsia="zh-CN"/>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65"/>
        <w:gridCol w:w="180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65" w:type="dxa"/>
            <w:shd w:val="clear" w:color="auto" w:fill="F3F3F3"/>
            <w:tcMar>
              <w:left w:w="57" w:type="dxa"/>
              <w:right w:w="57" w:type="dxa"/>
            </w:tcMar>
          </w:tcPr>
          <w:p>
            <w:r>
              <w:rPr>
                <w:rFonts w:hint="eastAsia"/>
              </w:rPr>
              <w:t>审核范围（产品和过程）</w:t>
            </w:r>
          </w:p>
          <w:p/>
          <w:p/>
        </w:tc>
        <w:tc>
          <w:tcPr>
            <w:tcW w:w="180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遂宁市蓝盾有害生物防治有限公司</w:t>
            </w:r>
            <w:r>
              <w:rPr>
                <w:rFonts w:hint="eastAsia"/>
                <w:sz w:val="21"/>
                <w:szCs w:val="21"/>
                <w:lang w:val="en-US" w:eastAsia="zh-CN"/>
              </w:rPr>
              <w:t>/</w:t>
            </w:r>
            <w:r>
              <w:rPr>
                <w:rFonts w:asciiTheme="minorEastAsia" w:hAnsiTheme="minorEastAsia" w:eastAsiaTheme="minorEastAsia"/>
                <w:sz w:val="20"/>
              </w:rPr>
              <w:t>遂宁市船山区燕山路113附14号第一层</w:t>
            </w:r>
          </w:p>
        </w:tc>
        <w:tc>
          <w:tcPr>
            <w:tcW w:w="2267" w:type="dxa"/>
          </w:tcPr>
          <w:p>
            <w:pPr>
              <w:rPr>
                <w:highlight w:val="none"/>
                <w:lang w:val="de-DE" w:eastAsia="ja-JP"/>
              </w:rPr>
            </w:pPr>
            <w:r>
              <w:rPr>
                <w:rFonts w:asciiTheme="minorEastAsia" w:hAnsiTheme="minorEastAsia" w:eastAsiaTheme="minorEastAsia"/>
                <w:sz w:val="20"/>
                <w:highlight w:val="none"/>
              </w:rPr>
              <w:t>遂宁市船山区燕山路113附14号第一层</w:t>
            </w:r>
          </w:p>
        </w:tc>
        <w:tc>
          <w:tcPr>
            <w:tcW w:w="571" w:type="dxa"/>
            <w:vAlign w:val="center"/>
          </w:tcPr>
          <w:p>
            <w:pPr>
              <w:rPr>
                <w:rFonts w:hint="default" w:eastAsia="宋体"/>
                <w:highlight w:val="none"/>
                <w:lang w:val="en-US" w:eastAsia="zh-CN"/>
              </w:rPr>
            </w:pPr>
            <w:r>
              <w:rPr>
                <w:rFonts w:hint="eastAsia"/>
                <w:highlight w:val="none"/>
                <w:lang w:val="en-US" w:eastAsia="zh-CN"/>
              </w:rPr>
              <w:t>10</w:t>
            </w:r>
          </w:p>
        </w:tc>
        <w:tc>
          <w:tcPr>
            <w:tcW w:w="1665" w:type="dxa"/>
            <w:vAlign w:val="center"/>
          </w:tcPr>
          <w:p>
            <w:pPr>
              <w:rPr>
                <w:highlight w:val="none"/>
                <w:lang w:eastAsia="ja-JP"/>
              </w:rPr>
            </w:pPr>
            <w:r>
              <w:rPr>
                <w:sz w:val="20"/>
                <w:highlight w:val="none"/>
              </w:rPr>
              <w:t>灭各类有害生物(老鼠、蟑螂、蚊虫、蚁类)服务(需资质除外)</w:t>
            </w:r>
          </w:p>
        </w:tc>
        <w:tc>
          <w:tcPr>
            <w:tcW w:w="1807" w:type="dxa"/>
            <w:vAlign w:val="center"/>
          </w:tcPr>
          <w:p>
            <w:pPr>
              <w:pStyle w:val="22"/>
              <w:rPr>
                <w:rFonts w:hint="eastAsia"/>
                <w:highlight w:val="none"/>
              </w:rPr>
            </w:pPr>
            <w:r>
              <w:rPr>
                <w:rFonts w:hint="eastAsia"/>
                <w:highlight w:val="none"/>
              </w:rPr>
              <w:t xml:space="preserve">GB/T19001-2016 GB/T24001-2016 </w:t>
            </w:r>
          </w:p>
          <w:p>
            <w:pPr>
              <w:pStyle w:val="22"/>
              <w:rPr>
                <w:rFonts w:ascii="Times New Roman" w:hAnsi="Times New Roman" w:eastAsia="Times New Roman" w:cs="Times New Roman"/>
                <w:kern w:val="2"/>
                <w:sz w:val="20"/>
                <w:szCs w:val="20"/>
                <w:highlight w:val="none"/>
                <w:lang w:val="en-GB" w:eastAsia="ja-JP" w:bidi="ar-SA"/>
              </w:rPr>
            </w:pPr>
            <w:r>
              <w:rPr>
                <w:rFonts w:hint="eastAsia"/>
                <w:highlight w:val="none"/>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sz w:val="21"/>
                <w:szCs w:val="21"/>
              </w:rPr>
              <w:t>遂宁市蓝盾有害生物防治有限公司</w:t>
            </w:r>
            <w:r>
              <w:rPr>
                <w:rFonts w:hint="eastAsia"/>
                <w:sz w:val="21"/>
                <w:szCs w:val="21"/>
                <w:lang w:val="en-US" w:eastAsia="zh-CN"/>
              </w:rPr>
              <w:t>/</w:t>
            </w:r>
            <w:r>
              <w:rPr>
                <w:rFonts w:asciiTheme="minorEastAsia" w:hAnsiTheme="minorEastAsia" w:eastAsiaTheme="minorEastAsia"/>
                <w:sz w:val="20"/>
              </w:rPr>
              <w:t>遂宁市船山区燕山路113附14号第一层</w:t>
            </w:r>
          </w:p>
        </w:tc>
        <w:tc>
          <w:tcPr>
            <w:tcW w:w="2267" w:type="dxa"/>
            <w:vAlign w:val="center"/>
          </w:tcPr>
          <w:p>
            <w:pPr>
              <w:rPr>
                <w:highlight w:val="none"/>
                <w:lang w:eastAsia="ja-JP"/>
              </w:rPr>
            </w:pPr>
            <w:r>
              <w:rPr>
                <w:rFonts w:hint="eastAsia" w:ascii="宋体" w:hAnsi="宋体" w:eastAsia="宋体" w:cs="宋体"/>
                <w:b w:val="0"/>
                <w:bCs w:val="0"/>
                <w:color w:val="000000"/>
                <w:highlight w:val="none"/>
                <w:lang w:eastAsia="zh-CN"/>
              </w:rPr>
              <w:t>遂宁市蓬溪县S18遂广高速出口交叉口西150米</w:t>
            </w:r>
          </w:p>
        </w:tc>
        <w:tc>
          <w:tcPr>
            <w:tcW w:w="571" w:type="dxa"/>
            <w:vAlign w:val="center"/>
          </w:tcPr>
          <w:p>
            <w:pPr>
              <w:rPr>
                <w:rFonts w:hint="eastAsia" w:eastAsia="宋体"/>
                <w:highlight w:val="none"/>
                <w:lang w:val="en-US" w:eastAsia="zh-CN"/>
              </w:rPr>
            </w:pPr>
            <w:r>
              <w:rPr>
                <w:rFonts w:hint="eastAsia"/>
                <w:highlight w:val="none"/>
                <w:lang w:val="en-US" w:eastAsia="zh-CN"/>
              </w:rPr>
              <w:t>4</w:t>
            </w:r>
          </w:p>
        </w:tc>
        <w:tc>
          <w:tcPr>
            <w:tcW w:w="1665" w:type="dxa"/>
            <w:vAlign w:val="center"/>
          </w:tcPr>
          <w:p>
            <w:pPr>
              <w:rPr>
                <w:highlight w:val="none"/>
                <w:lang w:eastAsia="ja-JP"/>
              </w:rPr>
            </w:pPr>
            <w:r>
              <w:rPr>
                <w:sz w:val="20"/>
                <w:highlight w:val="none"/>
              </w:rPr>
              <w:t>灭各类有害生物(老鼠、蟑螂、蚊虫、蚁类)服务</w:t>
            </w:r>
          </w:p>
        </w:tc>
        <w:tc>
          <w:tcPr>
            <w:tcW w:w="1807" w:type="dxa"/>
            <w:vAlign w:val="center"/>
          </w:tcPr>
          <w:p>
            <w:pPr>
              <w:pStyle w:val="22"/>
              <w:rPr>
                <w:rFonts w:hint="eastAsia"/>
                <w:highlight w:val="none"/>
              </w:rPr>
            </w:pPr>
            <w:r>
              <w:rPr>
                <w:rFonts w:hint="eastAsia"/>
                <w:highlight w:val="none"/>
              </w:rPr>
              <w:t xml:space="preserve">GB/T19001-2016 GB/T24001-2016 </w:t>
            </w:r>
          </w:p>
          <w:p>
            <w:pPr>
              <w:pStyle w:val="22"/>
              <w:rPr>
                <w:rFonts w:ascii="Times New Roman" w:hAnsi="Times New Roman" w:eastAsia="Times New Roman" w:cs="Times New Roman"/>
                <w:kern w:val="2"/>
                <w:sz w:val="20"/>
                <w:szCs w:val="20"/>
                <w:highlight w:val="none"/>
                <w:lang w:val="en-GB" w:eastAsia="ja-JP" w:bidi="ar-SA"/>
              </w:rPr>
            </w:pPr>
            <w:r>
              <w:rPr>
                <w:rFonts w:hint="eastAsia"/>
                <w:highlight w:val="none"/>
              </w:rPr>
              <w:t>GB/T 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5" w:type="dxa"/>
            <w:vAlign w:val="center"/>
          </w:tcPr>
          <w:p>
            <w:pPr>
              <w:rPr>
                <w:lang w:eastAsia="ja-JP"/>
              </w:rPr>
            </w:pPr>
          </w:p>
        </w:tc>
        <w:tc>
          <w:tcPr>
            <w:tcW w:w="180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5" w:type="dxa"/>
            <w:vAlign w:val="center"/>
          </w:tcPr>
          <w:p>
            <w:pPr>
              <w:rPr>
                <w:lang w:eastAsia="ja-JP"/>
              </w:rPr>
            </w:pPr>
          </w:p>
        </w:tc>
        <w:tc>
          <w:tcPr>
            <w:tcW w:w="180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65" w:type="dxa"/>
            <w:vAlign w:val="center"/>
          </w:tcPr>
          <w:p>
            <w:pPr>
              <w:rPr>
                <w:lang w:eastAsia="ja-JP"/>
              </w:rPr>
            </w:pPr>
          </w:p>
        </w:tc>
        <w:tc>
          <w:tcPr>
            <w:tcW w:w="1807"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r>
              <w:t>Q:34.06.00</w:t>
            </w:r>
          </w:p>
          <w:p>
            <w: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highlight w:val="none"/>
              </w:rPr>
            </w:pPr>
            <w:r>
              <w:rPr>
                <w:rFonts w:hint="eastAsia"/>
                <w:highlight w:val="none"/>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highlight w:val="none"/>
              </w:rPr>
            </w:pPr>
            <w:r>
              <w:rPr>
                <w:rFonts w:hint="eastAsia"/>
                <w:highlight w:val="none"/>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上次不符合发生在行政部E0:6.1.3条款，经本次现场审核验证，无类似情况发生，整改有效。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灭各类有害生物(老鼠、蟑螂、蚊虫、蚁类)服务(需资质除外)。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灭各类有害生物(老鼠、蟑螂、蚊虫、蚁类)服务(需资质除外)所涉及场所的相关环境管理活动。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灭各类有害生物(老鼠、蟑螂、蚊虫、蚁类)服务(需资质除外)所涉及场所的相关职业健康安全管理活动。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377825</wp:posOffset>
                  </wp:positionH>
                  <wp:positionV relativeFrom="paragraph">
                    <wp:posOffset>109855</wp:posOffset>
                  </wp:positionV>
                  <wp:extent cx="588010" cy="296545"/>
                  <wp:effectExtent l="0" t="0" r="8890" b="8255"/>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6"/>
                          <a:stretch>
                            <a:fillRect/>
                          </a:stretch>
                        </pic:blipFill>
                        <pic:spPr>
                          <a:xfrm>
                            <a:off x="0" y="0"/>
                            <a:ext cx="588010" cy="29654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 xml:space="preserve">2022年03月19日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 xml:space="preserve">■市场拓展 </w:t>
            </w:r>
            <w:r>
              <w:rPr>
                <w:rFonts w:hint="eastAsia" w:ascii="宋体" w:hAnsi="宋体" w:eastAsia="宋体" w:cs="宋体"/>
              </w:rPr>
              <w:t>■</w:t>
            </w:r>
            <w:r>
              <w:rPr>
                <w:rFonts w:hint="eastAsia"/>
              </w:rPr>
              <w:t>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rPr>
              <w:t>最高管理者制定了文件化的管理体系方针：</w:t>
            </w:r>
            <w:r>
              <w:rPr>
                <w:rFonts w:hint="eastAsia" w:cs="Times New Roman" w:asciiTheme="minorEastAsia" w:hAnsiTheme="minorEastAsia" w:eastAsiaTheme="minorEastAsia"/>
                <w:u w:val="single"/>
                <w:lang w:eastAsia="zh-CN"/>
              </w:rPr>
              <w:t>“以质为本、诚信经营、顾客满意、持续改进、以及认真仔细，快速响应，坚守承诺，精益求精,为顾客提供优质的产品”。</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highlight w:val="none"/>
              </w:rPr>
            </w:pPr>
            <w:r>
              <w:rPr>
                <w:rFonts w:hint="eastAsia"/>
                <w:highlight w:val="none"/>
              </w:rPr>
              <w:t>策划</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highlight w:val="none"/>
                    </w:rPr>
                  </w:pPr>
                  <w:r>
                    <w:rPr>
                      <w:rFonts w:hint="eastAsia"/>
                      <w:highlight w:val="none"/>
                    </w:rPr>
                    <w:t>主要的风险或机遇描述</w:t>
                  </w:r>
                </w:p>
              </w:tc>
              <w:tc>
                <w:tcPr>
                  <w:tcW w:w="3965" w:type="dxa"/>
                </w:tcPr>
                <w:p>
                  <w:pPr>
                    <w:shd w:val="clear" w:color="auto" w:fill="C7DAF1" w:themeFill="text2" w:themeFillTint="32"/>
                    <w:rPr>
                      <w:highlight w:val="none"/>
                    </w:rPr>
                  </w:pPr>
                  <w:r>
                    <w:rPr>
                      <w:rFonts w:hint="eastAsia"/>
                      <w:highlight w:val="none"/>
                    </w:rPr>
                    <w:t>应对措施</w:t>
                  </w:r>
                </w:p>
              </w:tc>
              <w:tc>
                <w:tcPr>
                  <w:tcW w:w="1717" w:type="dxa"/>
                </w:tcPr>
                <w:p>
                  <w:pPr>
                    <w:shd w:val="clear" w:color="auto" w:fill="C7DAF1" w:themeFill="text2"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法律、法规内容的变化</w:t>
                  </w:r>
                </w:p>
              </w:tc>
              <w:tc>
                <w:tcPr>
                  <w:tcW w:w="3965" w:type="dxa"/>
                  <w:vAlign w:val="top"/>
                </w:tcPr>
                <w:p>
                  <w:pPr>
                    <w:spacing w:line="360" w:lineRule="auto"/>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主要职能部门按照要求加强所在地法</w:t>
                  </w:r>
                  <w:r>
                    <w:rPr>
                      <w:rFonts w:hint="eastAsia" w:ascii="宋体" w:hAnsi="宋体" w:cs="宋体"/>
                      <w:sz w:val="21"/>
                      <w:szCs w:val="21"/>
                      <w:highlight w:val="none"/>
                      <w:lang w:val="en-US" w:eastAsia="zh-CN"/>
                    </w:rPr>
                    <w:t>律法规</w:t>
                  </w:r>
                  <w:r>
                    <w:rPr>
                      <w:rFonts w:hint="eastAsia" w:ascii="宋体" w:hAnsi="宋体" w:cs="宋体"/>
                      <w:sz w:val="21"/>
                      <w:szCs w:val="21"/>
                      <w:highlight w:val="none"/>
                    </w:rPr>
                    <w:t>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rPr>
                    <w:t>公司服务不</w:t>
                  </w:r>
                  <w:r>
                    <w:rPr>
                      <w:rFonts w:hint="eastAsia" w:ascii="宋体" w:hAnsi="宋体" w:cs="宋体"/>
                      <w:sz w:val="21"/>
                      <w:szCs w:val="21"/>
                      <w:highlight w:val="none"/>
                      <w:lang w:val="en-US" w:eastAsia="zh-CN"/>
                    </w:rPr>
                    <w:t>及时</w:t>
                  </w:r>
                  <w:r>
                    <w:rPr>
                      <w:rFonts w:hint="eastAsia" w:ascii="宋体" w:hAnsi="宋体" w:cs="宋体"/>
                      <w:sz w:val="21"/>
                      <w:szCs w:val="21"/>
                      <w:highlight w:val="none"/>
                    </w:rPr>
                    <w:t>，顾客埋怨投诉较多，</w:t>
                  </w:r>
                  <w:r>
                    <w:rPr>
                      <w:rFonts w:hint="eastAsia" w:ascii="宋体" w:hAnsi="宋体" w:cs="宋体"/>
                      <w:sz w:val="21"/>
                      <w:szCs w:val="21"/>
                      <w:highlight w:val="none"/>
                      <w:lang w:val="en-US" w:eastAsia="zh-CN"/>
                    </w:rPr>
                    <w:t>导致</w:t>
                  </w:r>
                  <w:r>
                    <w:rPr>
                      <w:rFonts w:hint="eastAsia" w:ascii="宋体" w:hAnsi="宋体" w:cs="宋体"/>
                      <w:sz w:val="21"/>
                      <w:szCs w:val="21"/>
                      <w:highlight w:val="none"/>
                      <w:lang w:eastAsia="zh-CN"/>
                    </w:rPr>
                    <w:t>客户流失</w:t>
                  </w:r>
                  <w:r>
                    <w:rPr>
                      <w:rFonts w:hint="eastAsia" w:ascii="宋体" w:hAnsi="宋体" w:cs="宋体"/>
                      <w:sz w:val="21"/>
                      <w:szCs w:val="21"/>
                      <w:highlight w:val="none"/>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highlight w:val="none"/>
                      <w:lang w:val="en-US" w:eastAsia="zh-CN" w:bidi="ar-SA"/>
                    </w:rPr>
                  </w:pPr>
                  <w:r>
                    <w:rPr>
                      <w:rFonts w:hint="eastAsia" w:ascii="宋体" w:hAnsi="宋体" w:cs="宋体"/>
                      <w:sz w:val="21"/>
                      <w:szCs w:val="21"/>
                      <w:highlight w:val="none"/>
                      <w:lang w:val="en-US" w:eastAsia="zh-CN"/>
                    </w:rPr>
                    <w:t>供销部</w:t>
                  </w:r>
                  <w:r>
                    <w:rPr>
                      <w:rFonts w:hint="eastAsia" w:ascii="宋体" w:hAnsi="宋体" w:cs="宋体"/>
                      <w:sz w:val="21"/>
                      <w:szCs w:val="21"/>
                      <w:highlight w:val="none"/>
                    </w:rPr>
                    <w:t>和</w:t>
                  </w:r>
                  <w:r>
                    <w:rPr>
                      <w:rFonts w:hint="eastAsia" w:ascii="宋体" w:hAnsi="宋体" w:cs="宋体"/>
                      <w:sz w:val="21"/>
                      <w:szCs w:val="21"/>
                      <w:highlight w:val="none"/>
                      <w:lang w:val="en-US" w:eastAsia="zh-CN"/>
                    </w:rPr>
                    <w:t>技术服务</w:t>
                  </w:r>
                  <w:r>
                    <w:rPr>
                      <w:rFonts w:hint="eastAsia" w:ascii="宋体" w:hAnsi="宋体" w:cs="宋体"/>
                      <w:sz w:val="21"/>
                      <w:szCs w:val="21"/>
                      <w:highlight w:val="none"/>
                    </w:rPr>
                    <w:t>部要严格按照</w:t>
                  </w:r>
                  <w:r>
                    <w:rPr>
                      <w:rFonts w:hint="eastAsia" w:ascii="宋体" w:hAnsi="宋体" w:cs="宋体"/>
                      <w:sz w:val="21"/>
                      <w:szCs w:val="21"/>
                      <w:highlight w:val="none"/>
                      <w:lang w:val="en-US" w:eastAsia="zh-CN"/>
                    </w:rPr>
                    <w:t>作业计划实施服务</w:t>
                  </w:r>
                  <w:r>
                    <w:rPr>
                      <w:rFonts w:hint="eastAsia" w:ascii="宋体" w:hAnsi="宋体" w:cs="宋体"/>
                      <w:sz w:val="21"/>
                      <w:szCs w:val="21"/>
                      <w:highlight w:val="none"/>
                    </w:rPr>
                    <w:t>，提高客户满意度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采购成本增加，</w:t>
                  </w:r>
                  <w:r>
                    <w:rPr>
                      <w:rFonts w:hint="eastAsia"/>
                      <w:highlight w:val="none"/>
                      <w:lang w:eastAsia="zh-CN"/>
                    </w:rPr>
                    <w:t>使公司的</w:t>
                  </w:r>
                  <w:r>
                    <w:rPr>
                      <w:rFonts w:hint="eastAsia"/>
                      <w:highlight w:val="none"/>
                      <w:lang w:val="en-US" w:eastAsia="zh-CN"/>
                    </w:rPr>
                    <w:t>服务</w:t>
                  </w:r>
                  <w:r>
                    <w:rPr>
                      <w:rFonts w:hint="eastAsia"/>
                      <w:highlight w:val="none"/>
                      <w:lang w:eastAsia="zh-CN"/>
                    </w:rPr>
                    <w:t>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有效</w:t>
                  </w:r>
                </w:p>
              </w:tc>
            </w:tr>
          </w:tbl>
          <w:p>
            <w:pPr>
              <w:shd w:val="clear" w:color="auto" w:fill="C7DAF1" w:themeFill="text2"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组织建立了与方针一致的文件化的管理目标。为实现总质量目标而建立的各层级质量目标具体、有针对性、</w:t>
            </w:r>
            <w:r>
              <w:rPr>
                <w:rFonts w:hint="eastAsia"/>
                <w:highlight w:val="none"/>
              </w:rPr>
              <w:t>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2935"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3"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682"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采购产品合格率达到</w:t>
                  </w:r>
                  <w:r>
                    <w:rPr>
                      <w:rFonts w:hint="eastAsia" w:ascii="宋体" w:hAnsi="宋体" w:cs="宋体"/>
                      <w:sz w:val="21"/>
                      <w:szCs w:val="21"/>
                      <w:highlight w:val="none"/>
                      <w:lang w:val="en-US" w:eastAsia="zh-CN"/>
                    </w:rPr>
                    <w:t>100%</w:t>
                  </w:r>
                </w:p>
              </w:tc>
              <w:tc>
                <w:tcPr>
                  <w:tcW w:w="2935" w:type="dxa"/>
                  <w:shd w:val="clear" w:color="auto" w:fill="auto"/>
                  <w:vAlign w:val="center"/>
                </w:tcPr>
                <w:p>
                  <w:pPr>
                    <w:keepNext w:val="0"/>
                    <w:keepLines w:val="0"/>
                    <w:widowControl/>
                    <w:suppressLineNumbers w:val="0"/>
                    <w:tabs>
                      <w:tab w:val="left" w:pos="540"/>
                    </w:tabs>
                    <w:spacing w:line="240" w:lineRule="exact"/>
                    <w:jc w:val="left"/>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采购产品总数/产品合格数*100%</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供销部</w:t>
                  </w:r>
                </w:p>
              </w:tc>
              <w:tc>
                <w:tcPr>
                  <w:tcW w:w="1682" w:type="dxa"/>
                  <w:shd w:val="clear" w:color="auto" w:fill="auto"/>
                  <w:vAlign w:val="center"/>
                </w:tcPr>
                <w:p>
                  <w:pPr>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4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合同履约率</w:t>
                  </w:r>
                  <w:r>
                    <w:rPr>
                      <w:rFonts w:hint="eastAsia" w:ascii="宋体" w:hAnsi="宋体" w:cs="宋体"/>
                      <w:sz w:val="21"/>
                      <w:szCs w:val="21"/>
                      <w:highlight w:val="none"/>
                      <w:lang w:val="en-US" w:eastAsia="zh-CN"/>
                    </w:rPr>
                    <w:t>100%</w:t>
                  </w:r>
                </w:p>
              </w:tc>
              <w:tc>
                <w:tcPr>
                  <w:tcW w:w="2935"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合同签订数/合同履约次数*100%</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供销部</w:t>
                  </w:r>
                </w:p>
              </w:tc>
              <w:tc>
                <w:tcPr>
                  <w:tcW w:w="1682" w:type="dxa"/>
                  <w:shd w:val="clear" w:color="auto" w:fill="auto"/>
                  <w:vAlign w:val="center"/>
                </w:tcPr>
                <w:p>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客户满意度达到</w:t>
                  </w:r>
                  <w:r>
                    <w:rPr>
                      <w:rFonts w:hint="eastAsia" w:ascii="宋体" w:hAnsi="宋体" w:cs="宋体"/>
                      <w:i w:val="0"/>
                      <w:iCs w:val="0"/>
                      <w:color w:val="000000"/>
                      <w:kern w:val="0"/>
                      <w:sz w:val="22"/>
                      <w:szCs w:val="22"/>
                      <w:highlight w:val="none"/>
                      <w:u w:val="none"/>
                      <w:lang w:val="en-US" w:eastAsia="zh-CN" w:bidi="ar"/>
                    </w:rPr>
                    <w:t>90%</w:t>
                  </w:r>
                </w:p>
              </w:tc>
              <w:tc>
                <w:tcPr>
                  <w:tcW w:w="2935"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rPr>
                    <w:t>满意度=客户打分总分数÷调查客户数量；</w:t>
                  </w:r>
                </w:p>
              </w:tc>
              <w:tc>
                <w:tcPr>
                  <w:tcW w:w="1353" w:type="dxa"/>
                  <w:shd w:val="clear" w:color="auto" w:fill="auto"/>
                  <w:vAlign w:val="center"/>
                </w:tcPr>
                <w:p>
                  <w:pPr>
                    <w:keepNext w:val="0"/>
                    <w:keepLines w:val="0"/>
                    <w:widowControl/>
                    <w:suppressLineNumbers w:val="0"/>
                    <w:tabs>
                      <w:tab w:val="left" w:pos="540"/>
                    </w:tabs>
                    <w:spacing w:line="240" w:lineRule="exact"/>
                    <w:jc w:val="left"/>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技术服务部</w:t>
                  </w:r>
                </w:p>
              </w:tc>
              <w:tc>
                <w:tcPr>
                  <w:tcW w:w="1682" w:type="dxa"/>
                  <w:shd w:val="clear" w:color="auto" w:fill="auto"/>
                  <w:vAlign w:val="center"/>
                </w:tcPr>
                <w:p>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98%</w:t>
                  </w:r>
                </w:p>
              </w:tc>
            </w:tr>
          </w:tbl>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pPr>
            <w:r>
              <w:rPr>
                <w:rFonts w:hint="eastAsia" w:ascii="Times New Roman" w:hAnsi="Times New Roman" w:eastAsia="宋体" w:cs="Times New Roman"/>
                <w:lang w:val="en-US" w:eastAsia="zh-CN"/>
              </w:rPr>
              <w:t>办公场</w:t>
            </w:r>
            <w:r>
              <w:rPr>
                <w:rFonts w:hint="eastAsia" w:ascii="Times New Roman" w:hAnsi="Times New Roman" w:eastAsia="宋体" w:cs="Times New Roman"/>
                <w:highlight w:val="none"/>
                <w:lang w:val="en-US" w:eastAsia="zh-CN"/>
              </w:rPr>
              <w:t>所</w:t>
            </w:r>
            <w:r>
              <w:rPr>
                <w:rFonts w:hint="eastAsia" w:ascii="Times New Roman" w:hAnsi="Times New Roman" w:eastAsia="宋体" w:cs="Times New Roman"/>
                <w:highlight w:val="none"/>
              </w:rPr>
              <w:t>共约</w:t>
            </w:r>
            <w:r>
              <w:rPr>
                <w:rFonts w:hint="eastAsia"/>
                <w:u w:val="single"/>
                <w:lang w:val="en-US" w:eastAsia="zh-CN"/>
              </w:rPr>
              <w:t>30平方米</w:t>
            </w:r>
            <w:r>
              <w:rPr>
                <w:rFonts w:hint="eastAsia"/>
              </w:rPr>
              <w:t>；</w:t>
            </w:r>
            <w:r>
              <w:rPr>
                <w:rFonts w:hint="eastAsia"/>
                <w:lang w:val="en-US" w:eastAsia="zh-CN"/>
              </w:rPr>
              <w:t>临</w:t>
            </w:r>
            <w:r>
              <w:rPr>
                <w:rFonts w:hint="eastAsia"/>
                <w:highlight w:val="none"/>
                <w:lang w:val="en-US" w:eastAsia="zh-CN"/>
              </w:rPr>
              <w:t>时场所</w:t>
            </w:r>
            <w:r>
              <w:rPr>
                <w:rFonts w:hint="eastAsia"/>
                <w:highlight w:val="none"/>
                <w:u w:val="single"/>
                <w:lang w:val="en-US" w:eastAsia="zh-CN"/>
              </w:rPr>
              <w:t>1</w:t>
            </w:r>
            <w:r>
              <w:rPr>
                <w:rFonts w:hint="eastAsia"/>
                <w:highlight w:val="none"/>
              </w:rPr>
              <w:t>个；库房</w:t>
            </w:r>
            <w:r>
              <w:rPr>
                <w:rFonts w:hint="eastAsia"/>
                <w:highlight w:val="none"/>
                <w:lang w:val="en-US" w:eastAsia="zh-CN"/>
              </w:rPr>
              <w:t xml:space="preserve"> 1  </w:t>
            </w:r>
            <w:r>
              <w:rPr>
                <w:rFonts w:hint="eastAsia"/>
                <w:highlight w:val="none"/>
              </w:rPr>
              <w:t>个；</w:t>
            </w:r>
            <w:r>
              <w:rPr>
                <w:rFonts w:hint="eastAsia"/>
              </w:rPr>
              <w:t>实验室</w:t>
            </w:r>
            <w:r>
              <w:rPr>
                <w:rFonts w:hint="eastAsia"/>
                <w:lang w:val="en-US" w:eastAsia="zh-CN"/>
              </w:rPr>
              <w:t xml:space="preserve">   </w:t>
            </w:r>
            <w:r>
              <w:rPr>
                <w:rFonts w:hint="eastAsia"/>
              </w:rPr>
              <w:t>个；</w:t>
            </w:r>
          </w:p>
          <w:p>
            <w:pPr>
              <w:rPr>
                <w:u w:val="single"/>
              </w:rPr>
            </w:pPr>
            <w:r>
              <w:rPr>
                <w:rFonts w:hint="eastAsia"/>
              </w:rPr>
              <w:t>主要生产设备有</w:t>
            </w:r>
            <w:r>
              <w:rPr>
                <w:rFonts w:hint="eastAsia"/>
                <w:highlight w:val="none"/>
              </w:rPr>
              <w:t>：</w:t>
            </w:r>
            <w:r>
              <w:rPr>
                <w:rFonts w:hint="eastAsia" w:ascii="宋体" w:hAnsi="宋体" w:cs="宋体"/>
                <w:sz w:val="21"/>
                <w:szCs w:val="21"/>
                <w:u w:val="single"/>
              </w:rPr>
              <w:t>喷药设备、应急防护包、梯子、溢漏应急包、工作警示牌、个人防护装备</w:t>
            </w:r>
            <w:r>
              <w:rPr>
                <w:rFonts w:hint="eastAsia" w:ascii="Times New Roman" w:hAnsi="Times New Roman" w:eastAsia="宋体" w:cs="Times New Roman"/>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cs="宋体"/>
                <w:lang w:eastAsia="zh-CN"/>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color w:val="000000" w:themeColor="text1"/>
                <w:highlight w:val="none"/>
                <w:u w:val="single"/>
              </w:rPr>
            </w:pPr>
            <w:r>
              <w:rPr>
                <w:rFonts w:hint="eastAsia"/>
                <w:color w:val="000000" w:themeColor="text1"/>
                <w:highlight w:val="none"/>
              </w:rPr>
              <w:t>特种设备</w:t>
            </w:r>
            <w:r>
              <w:rPr>
                <w:rFonts w:hint="eastAsia"/>
                <w:color w:val="000000" w:themeColor="text1"/>
                <w:highlight w:val="none"/>
                <w:lang w:eastAsia="zh-CN"/>
              </w:rPr>
              <w:t>管理：□进行了定期检验</w:t>
            </w:r>
            <w:r>
              <w:rPr>
                <w:rFonts w:hint="eastAsia"/>
                <w:color w:val="000000" w:themeColor="text1"/>
                <w:highlight w:val="none"/>
              </w:rPr>
              <w:t>□未进行定期检验的有：</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□计量器具</w:t>
            </w:r>
            <w:r>
              <w:rPr>
                <w:rFonts w:hint="eastAsia"/>
                <w:highlight w:val="none"/>
              </w:rPr>
              <w:t xml:space="preserve">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□外校</w:t>
            </w:r>
          </w:p>
          <w:p>
            <w:pPr>
              <w:shd w:val="clear" w:color="auto" w:fill="C7DAF1" w:themeFill="text2" w:themeFillTint="32"/>
              <w:rPr>
                <w:rFonts w:hint="eastAsia" w:ascii="宋体" w:hAnsi="宋体" w:eastAsia="宋体" w:cs="宋体"/>
                <w:color w:val="000000" w:themeColor="text1"/>
                <w:szCs w:val="21"/>
                <w:highlight w:val="none"/>
                <w:u w:val="single"/>
              </w:rPr>
            </w:pPr>
            <w:r>
              <w:rPr>
                <w:rFonts w:hint="eastAsia"/>
              </w:rPr>
              <w:t>国家强检的计量器具</w:t>
            </w:r>
            <w:r>
              <w:rPr>
                <w:rFonts w:hint="eastAsia"/>
                <w:highlight w:val="none"/>
              </w:rPr>
              <w:t>有：</w:t>
            </w:r>
            <w:r>
              <w:rPr>
                <w:rFonts w:hint="eastAsia" w:ascii="宋体" w:hAnsi="宋体" w:cs="宋体"/>
                <w:color w:val="000000" w:themeColor="text1"/>
                <w:szCs w:val="21"/>
                <w:highlight w:val="none"/>
                <w:u w:val="single"/>
                <w:lang w:val="en-US" w:eastAsia="zh-CN"/>
              </w:rPr>
              <w:t xml:space="preserve">              </w:t>
            </w:r>
            <w:r>
              <w:rPr>
                <w:rFonts w:hint="eastAsia" w:ascii="宋体" w:hAnsi="宋体" w:eastAsia="宋体" w:cs="宋体"/>
                <w:color w:val="000000" w:themeColor="text1"/>
                <w:szCs w:val="21"/>
                <w:highlight w:val="none"/>
                <w:u w:val="single"/>
              </w:rPr>
              <w:t>。</w:t>
            </w:r>
          </w:p>
          <w:p>
            <w:pPr>
              <w:shd w:val="clear" w:color="auto" w:fill="C7DAF1" w:themeFill="text2" w:themeFillTint="32"/>
              <w:rPr>
                <w:u w:val="single"/>
              </w:rPr>
            </w:pPr>
            <w:r>
              <w:rPr>
                <w:rFonts w:hint="eastAsia"/>
                <w:color w:val="000000" w:themeColor="text1"/>
                <w:highlight w:val="none"/>
              </w:rPr>
              <w:t>计量器具管理：</w:t>
            </w:r>
            <w:r>
              <w:rPr>
                <w:rFonts w:hint="eastAsia" w:ascii="Wingdings" w:hAnsi="Wingdings"/>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ascii="宋体" w:hAnsi="宋体" w:cs="宋体"/>
                <w:color w:val="auto"/>
                <w:szCs w:val="21"/>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宋体" w:hAnsi="宋体" w:eastAsia="宋体" w:cs="宋体"/>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宋体" w:hAnsi="宋体" w:cs="宋体"/>
                <w:highlight w:val="none"/>
                <w:lang w:eastAsia="zh-CN"/>
              </w:rPr>
              <w:t>□电工</w:t>
            </w:r>
            <w:r>
              <w:rPr>
                <w:rFonts w:hint="eastAsia"/>
                <w:color w:val="000000" w:themeColor="text1"/>
                <w:highlight w:val="none"/>
              </w:rPr>
              <w:t xml:space="preserve"> </w:t>
            </w:r>
            <w:r>
              <w:rPr>
                <w:rFonts w:hint="eastAsia" w:ascii="Wingdings" w:hAnsi="Wingdings"/>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rFonts w:hint="default" w:eastAsia="宋体"/>
                <w:highlight w:val="none"/>
                <w:lang w:val="en-US" w:eastAsia="zh-CN"/>
              </w:rPr>
            </w:pPr>
            <w:r>
              <w:rPr>
                <w:rFonts w:hint="eastAsia"/>
                <w:highlight w:val="none"/>
              </w:rPr>
              <w:t>外部提供包括：</w:t>
            </w:r>
            <w:r>
              <w:rPr>
                <w:rFonts w:hint="eastAsia" w:ascii="Wingdings" w:hAnsi="Wingdings"/>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宋体" w:hAnsi="宋体" w:cs="宋体"/>
                <w:highlight w:val="none"/>
                <w:lang w:eastAsia="zh-CN"/>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hint="eastAsia"/>
                      <w:lang w:eastAsia="zh-CN"/>
                    </w:rPr>
                  </w:pPr>
                  <w:r>
                    <w:rPr>
                      <w:rFonts w:hint="eastAsia" w:ascii="宋体" w:hAnsi="宋体"/>
                      <w:color w:val="000000"/>
                      <w:szCs w:val="21"/>
                      <w:highlight w:val="none"/>
                      <w:lang w:val="en-US" w:eastAsia="zh-CN"/>
                    </w:rPr>
                    <w:t>服务</w:t>
                  </w:r>
                  <w:r>
                    <w:rPr>
                      <w:rFonts w:hint="eastAsia" w:ascii="宋体" w:hAnsi="宋体"/>
                      <w:color w:val="000000"/>
                      <w:szCs w:val="21"/>
                      <w:highlight w:val="none"/>
                    </w:rPr>
                    <w:t>过程</w:t>
                  </w:r>
                </w:p>
              </w:tc>
              <w:tc>
                <w:tcPr>
                  <w:tcW w:w="2259" w:type="dxa"/>
                </w:tcPr>
                <w:p>
                  <w:pPr>
                    <w:shd w:val="clear" w:color="auto" w:fill="C7DAF1" w:themeFill="text2" w:themeFillTint="32"/>
                    <w:jc w:val="left"/>
                    <w:rPr>
                      <w:rFonts w:hint="default"/>
                      <w:lang w:val="en-US" w:eastAsia="zh-CN"/>
                    </w:rPr>
                  </w:pPr>
                  <w:r>
                    <w:rPr>
                      <w:rFonts w:hint="eastAsia"/>
                      <w:lang w:eastAsia="zh-CN"/>
                    </w:rPr>
                    <w:t>关键过程：</w:t>
                  </w:r>
                  <w:r>
                    <w:rPr>
                      <w:rFonts w:hint="eastAsia"/>
                    </w:rPr>
                    <w:t>服务过程</w:t>
                  </w:r>
                </w:p>
                <w:p>
                  <w:pPr>
                    <w:shd w:val="clear" w:color="auto" w:fill="C7DAF1" w:themeFill="text2" w:themeFillTint="32"/>
                    <w:jc w:val="left"/>
                    <w:rPr>
                      <w:rFonts w:hint="eastAsia"/>
                      <w:lang w:eastAsia="zh-CN"/>
                    </w:rPr>
                  </w:pPr>
                </w:p>
              </w:tc>
              <w:tc>
                <w:tcPr>
                  <w:tcW w:w="3640" w:type="dxa"/>
                </w:tcPr>
                <w:p>
                  <w:pPr>
                    <w:shd w:val="clear" w:color="auto" w:fill="C7DAF1" w:themeFill="text2" w:themeFillTint="32"/>
                    <w:jc w:val="left"/>
                    <w:rPr>
                      <w:rFonts w:hint="default" w:eastAsia="宋体"/>
                      <w:lang w:val="en-US" w:eastAsia="zh-CN"/>
                    </w:rPr>
                  </w:pPr>
                  <w:r>
                    <w:rPr>
                      <w:rFonts w:hint="eastAsia"/>
                    </w:rPr>
                    <w:t>包括服务方案制定、人员能力培训、服务过程监控</w:t>
                  </w:r>
                  <w:r>
                    <w:rPr>
                      <w:rFonts w:hint="eastAsia"/>
                      <w:lang w:eastAsia="zh-CN"/>
                    </w:rPr>
                    <w:t>、</w:t>
                  </w:r>
                  <w:r>
                    <w:rPr>
                      <w:rFonts w:hint="eastAsia"/>
                      <w:lang w:val="en-US" w:eastAsia="zh-CN"/>
                    </w:rPr>
                    <w:t>效果评价。</w:t>
                  </w: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highlight w:val="none"/>
                <w:lang w:val="en-US" w:eastAsia="zh-CN"/>
              </w:rPr>
              <w:t>服务过程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宋体" w:hAnsi="宋体" w:eastAsia="宋体" w:cs="宋体"/>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w:t>
            </w:r>
            <w:r>
              <w:rPr>
                <w:rFonts w:hint="eastAsia" w:ascii="宋体" w:hAnsi="宋体" w:eastAsia="宋体" w:cs="宋体"/>
              </w:rPr>
              <w:t>■</w:t>
            </w:r>
            <w:r>
              <w:rPr>
                <w:rFonts w:hint="eastAsia"/>
              </w:rPr>
              <w:t>标识、</w:t>
            </w:r>
            <w:r>
              <w:rPr>
                <w:rFonts w:hint="eastAsia" w:ascii="宋体" w:hAnsi="宋体" w:eastAsia="宋体" w:cs="宋体"/>
              </w:rPr>
              <w:t>■</w:t>
            </w:r>
            <w:r>
              <w:rPr>
                <w:rFonts w:hint="eastAsia"/>
              </w:rPr>
              <w:t>处置、</w:t>
            </w:r>
            <w:r>
              <w:rPr>
                <w:rFonts w:hint="eastAsia" w:ascii="宋体" w:hAnsi="宋体" w:eastAsia="宋体" w:cs="宋体"/>
              </w:rPr>
              <w:t>■</w:t>
            </w:r>
            <w:r>
              <w:rPr>
                <w:rFonts w:hint="eastAsia"/>
              </w:rPr>
              <w:t>污染控制、</w:t>
            </w:r>
            <w:r>
              <w:rPr>
                <w:rFonts w:hint="eastAsia" w:ascii="宋体" w:hAnsi="宋体" w:eastAsia="宋体" w:cs="宋体"/>
              </w:rPr>
              <w:t>■</w:t>
            </w:r>
            <w:r>
              <w:rPr>
                <w:rFonts w:hint="eastAsia"/>
              </w:rPr>
              <w:t>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宋体" w:hAnsi="宋体" w:eastAsia="宋体" w:cs="宋体"/>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售后服务</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u w:val="single"/>
                <w:lang w:eastAsia="zh-CN"/>
              </w:rPr>
              <w:t>2022年01月15日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2022年1月25日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ascii="宋体" w:hAnsi="宋体" w:eastAsia="宋体" w:cs="宋体"/>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lang w:val="en-US" w:eastAsia="zh-CN"/>
              </w:rPr>
              <w:t>服务</w:t>
            </w:r>
            <w:r>
              <w:rPr>
                <w:rFonts w:hint="eastAsia"/>
              </w:rPr>
              <w:t xml:space="preserve"> </w:t>
            </w:r>
            <w:r>
              <w:rPr>
                <w:rFonts w:hint="eastAsia"/>
                <w:lang w:eastAsia="zh-CN"/>
              </w:rPr>
              <w:t>■</w:t>
            </w:r>
            <w:r>
              <w:rPr>
                <w:rFonts w:hint="eastAsia"/>
              </w:rPr>
              <w:t xml:space="preserve">检验 </w:t>
            </w:r>
            <w:r>
              <w:rPr>
                <w:rFonts w:hint="eastAsia" w:ascii="宋体" w:hAnsi="宋体" w:eastAsia="宋体" w:cs="宋体"/>
                <w:lang w:eastAsia="zh-CN"/>
              </w:rPr>
              <w:t>■</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cs="宋体"/>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val="en-US"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“以质为本、诚信经营、顾客满意、持续改进、以及认真仔细，快速响应，坚守承诺，精益求精,为顾客提供优质的产品”。</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ascii="宋体" w:hAnsi="宋体" w:eastAsia="宋体" w:cs="宋体"/>
                      <w:kern w:val="2"/>
                      <w:sz w:val="21"/>
                      <w:szCs w:val="21"/>
                      <w:highlight w:val="none"/>
                      <w:lang w:val="en-US" w:eastAsia="zh-CN" w:bidi="ar-SA"/>
                    </w:rPr>
                    <w:t>固废（含危废）的排放</w:t>
                  </w:r>
                </w:p>
              </w:tc>
              <w:tc>
                <w:tcPr>
                  <w:tcW w:w="4438"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red"/>
                      <w:lang w:val="en-US" w:eastAsia="zh-CN"/>
                    </w:rPr>
                  </w:pPr>
                  <w:r>
                    <w:rPr>
                      <w:rFonts w:hint="eastAsia" w:ascii="宋体" w:hAnsi="宋体" w:eastAsia="宋体" w:cs="宋体"/>
                      <w:kern w:val="2"/>
                      <w:sz w:val="21"/>
                      <w:szCs w:val="21"/>
                      <w:lang w:val="en-US" w:eastAsia="zh-CN" w:bidi="ar-SA"/>
                    </w:rPr>
                    <w:t>化学药剂排放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eastAsia" w:ascii="宋体" w:hAnsi="宋体" w:eastAsia="宋体" w:cs="宋体"/>
                      <w:kern w:val="2"/>
                      <w:sz w:val="21"/>
                      <w:szCs w:val="21"/>
                      <w:lang w:val="en-US" w:eastAsia="zh-CN" w:bidi="ar-SA"/>
                    </w:rPr>
                    <w:t>化学</w:t>
                  </w:r>
                  <w:r>
                    <w:rPr>
                      <w:rFonts w:hint="eastAsia" w:ascii="宋体" w:hAnsi="宋体" w:cs="宋体"/>
                      <w:kern w:val="2"/>
                      <w:sz w:val="21"/>
                      <w:szCs w:val="21"/>
                      <w:lang w:val="en-US" w:eastAsia="zh-CN" w:bidi="ar-SA"/>
                    </w:rPr>
                    <w:t>药</w:t>
                  </w:r>
                  <w:r>
                    <w:rPr>
                      <w:rFonts w:hint="eastAsia" w:ascii="宋体" w:hAnsi="宋体" w:eastAsia="宋体" w:cs="宋体"/>
                      <w:kern w:val="2"/>
                      <w:sz w:val="21"/>
                      <w:szCs w:val="21"/>
                      <w:lang w:val="en-US" w:eastAsia="zh-CN" w:bidi="ar-SA"/>
                    </w:rPr>
                    <w:t>品泄漏</w:t>
                  </w:r>
                </w:p>
              </w:tc>
              <w:tc>
                <w:tcPr>
                  <w:tcW w:w="443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cs="宋体"/>
                <w:lang w:eastAsia="zh-CN"/>
              </w:rPr>
              <w:t>□粉尘排放</w:t>
            </w:r>
            <w:r>
              <w:rPr>
                <w:rFonts w:hint="eastAsia"/>
              </w:rPr>
              <w:t xml:space="preserve">  </w:t>
            </w:r>
            <w:r>
              <w:rPr>
                <w:rFonts w:hint="eastAsia"/>
                <w:lang w:eastAsia="zh-CN"/>
              </w:rPr>
              <w:t>□</w:t>
            </w:r>
            <w:r>
              <w:rPr>
                <w:rFonts w:hint="eastAsia"/>
              </w:rPr>
              <w:t xml:space="preserve">危废排放 □噪声排放  </w:t>
            </w:r>
            <w:r>
              <w:rPr>
                <w:rFonts w:hint="eastAsia" w:ascii="宋体" w:hAnsi="宋体" w:eastAsia="宋体" w:cs="宋体"/>
              </w:rPr>
              <w:t>■</w:t>
            </w:r>
            <w:r>
              <w:rPr>
                <w:rFonts w:hint="eastAsia"/>
              </w:rPr>
              <w:t>化</w:t>
            </w:r>
            <w:r>
              <w:rPr>
                <w:rFonts w:hint="eastAsia"/>
                <w:lang w:val="en-US" w:eastAsia="zh-CN"/>
              </w:rPr>
              <w:t>学</w:t>
            </w:r>
            <w:r>
              <w:rPr>
                <w:rFonts w:hint="eastAsia"/>
              </w:rPr>
              <w:t xml:space="preserve">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eastAsia="宋体" w:cs="宋体"/>
                <w:kern w:val="2"/>
                <w:sz w:val="21"/>
                <w:szCs w:val="21"/>
                <w:lang w:val="en-US" w:eastAsia="zh-CN" w:bidi="ar-SA"/>
              </w:rPr>
              <w:t>化学药剂的排放</w:t>
            </w:r>
            <w:r>
              <w:rPr>
                <w:rFonts w:hint="eastAsia" w:ascii="宋体" w:hAnsi="宋体" w:cs="宋体"/>
                <w:kern w:val="2"/>
                <w:sz w:val="21"/>
                <w:szCs w:val="21"/>
                <w:lang w:val="en-US" w:eastAsia="zh-CN" w:bidi="ar-SA"/>
              </w:rPr>
              <w:t>、</w:t>
            </w:r>
            <w:r>
              <w:rPr>
                <w:rFonts w:hint="eastAsia" w:ascii="Times New Roman" w:hAnsi="Times New Roman" w:cs="Times New Roman"/>
                <w:lang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rPr>
                    <w:t>固废（含危险固废）回收处理率100%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highlight w:val="none"/>
                      <w:lang w:val="en-US" w:eastAsia="zh-CN"/>
                    </w:rPr>
                  </w:pPr>
                  <w:r>
                    <w:rPr>
                      <w:rFonts w:hint="eastAsia"/>
                      <w:highlight w:val="none"/>
                    </w:rPr>
                    <w:t>火灾事故发生为0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污染事故为0</w:t>
                  </w:r>
                </w:p>
              </w:tc>
              <w:tc>
                <w:tcPr>
                  <w:tcW w:w="3136" w:type="dxa"/>
                  <w:shd w:val="clear" w:color="auto" w:fill="auto"/>
                  <w:vAlign w:val="center"/>
                </w:tcPr>
                <w:p>
                  <w:pPr>
                    <w:shd w:val="clear" w:color="auto" w:fill="EBF1DE" w:themeFill="accent3" w:themeFillTint="32"/>
                    <w:rPr>
                      <w:rFonts w:hint="eastAsia" w:ascii="宋体" w:hAnsi="宋体" w:eastAsia="宋体"/>
                      <w:highlight w:val="none"/>
                      <w:lang w:val="en-US" w:eastAsia="zh-CN"/>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技术部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rPr>
            </w:pPr>
            <w:r>
              <w:rPr>
                <w:rFonts w:hint="eastAsia" w:cs="Times New Roman"/>
                <w:lang w:val="en-US" w:eastAsia="zh-CN"/>
              </w:rPr>
              <w:t>办公场所共约30平方米；临时场所1个；库房 1  个；实验室   个</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宋体" w:hAnsi="宋体" w:cs="宋体"/>
                <w:sz w:val="21"/>
                <w:szCs w:val="21"/>
                <w:u w:val="single"/>
              </w:rPr>
              <w:t>喷药设备、应急防护包、梯子、溢漏应急包、工作警示牌、个人防护装备</w:t>
            </w:r>
            <w:r>
              <w:rPr>
                <w:rFonts w:hint="eastAsia" w:ascii="Times New Roman" w:hAnsi="Times New Roman" w:eastAsia="宋体" w:cs="Times New Roman"/>
                <w:u w:val="single"/>
                <w:lang w:eastAsia="zh-CN"/>
              </w:rPr>
              <w:t>。</w:t>
            </w:r>
          </w:p>
          <w:p>
            <w:pPr>
              <w:shd w:val="clear" w:color="auto" w:fill="EBF1DE" w:themeFill="accent3" w:themeFillTint="32"/>
              <w:rPr>
                <w:u w:val="single"/>
              </w:rPr>
            </w:pPr>
            <w:r>
              <w:rPr>
                <w:rFonts w:hint="eastAsia"/>
              </w:rPr>
              <w:t>主要环保设备有：</w:t>
            </w:r>
            <w:r>
              <w:rPr>
                <w:rFonts w:hint="eastAsia"/>
                <w:u w:val="single"/>
                <w:lang w:val="en-US" w:eastAsia="zh-CN"/>
              </w:rPr>
              <w:t xml:space="preserve">              </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宋体" w:hAnsi="宋体" w:cs="宋体"/>
                <w:lang w:eastAsia="zh-CN"/>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cs="宋体"/>
                <w:lang w:eastAsia="zh-CN"/>
              </w:rPr>
              <w:t>□电工</w:t>
            </w:r>
            <w:r>
              <w:rPr>
                <w:rFonts w:hint="eastAsia" w:ascii="Wingdings" w:hAnsi="Wingdings"/>
                <w:lang w:eastAsia="zh-CN"/>
              </w:rPr>
              <w:t xml:space="preserve"> □焊工</w:t>
            </w:r>
            <w:r>
              <w:rPr>
                <w:rFonts w:hint="eastAsia"/>
              </w:rPr>
              <w:t xml:space="preserve">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宋体" w:hAnsi="宋体" w:eastAsia="宋体" w:cs="宋体"/>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宋体" w:hAnsi="宋体" w:cs="宋体"/>
                <w:lang w:eastAsia="zh-CN"/>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443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shd w:val="clear" w:color="auto" w:fill="EBF1DE" w:themeFill="accent3" w:themeFillTint="32"/>
                    <w:jc w:val="left"/>
                  </w:pPr>
                  <w:r>
                    <w:rPr>
                      <w:rFonts w:hint="eastAsia"/>
                    </w:rPr>
                    <w:t>重要环境因素</w:t>
                  </w:r>
                </w:p>
              </w:tc>
              <w:tc>
                <w:tcPr>
                  <w:tcW w:w="4430" w:type="dxa"/>
                </w:tcPr>
                <w:p>
                  <w:pPr>
                    <w:shd w:val="clear" w:color="auto" w:fill="EBF1DE" w:themeFill="accent3" w:themeFillTint="32"/>
                    <w:jc w:val="left"/>
                  </w:pPr>
                  <w:r>
                    <w:rPr>
                      <w:rFonts w:hint="eastAsia"/>
                    </w:rPr>
                    <w:t>控制措施</w:t>
                  </w:r>
                </w:p>
              </w:tc>
              <w:tc>
                <w:tcPr>
                  <w:tcW w:w="2303"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固废的产生</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采取分类收集、管理方案进行管理</w:t>
                  </w:r>
                </w:p>
              </w:tc>
              <w:tc>
                <w:tcPr>
                  <w:tcW w:w="2303"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火灾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通过管理方案和预案措施、应急演练进行管理</w:t>
                  </w:r>
                </w:p>
              </w:tc>
              <w:tc>
                <w:tcPr>
                  <w:tcW w:w="2303"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vAlign w:val="center"/>
                </w:tcPr>
                <w:p>
                  <w:pPr>
                    <w:shd w:val="clear" w:color="auto" w:fill="EBF1DE" w:themeFill="accent3" w:themeFillTint="32"/>
                    <w:jc w:val="lef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化学药剂的排放</w:t>
                  </w:r>
                </w:p>
              </w:tc>
              <w:tc>
                <w:tcPr>
                  <w:tcW w:w="4430" w:type="dxa"/>
                </w:tcPr>
                <w:p>
                  <w:pPr>
                    <w:shd w:val="clear" w:color="auto" w:fill="EBF1DE" w:themeFill="accent3" w:themeFillTint="32"/>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通过管理方案进行管理</w:t>
                  </w:r>
                </w:p>
              </w:tc>
              <w:tc>
                <w:tcPr>
                  <w:tcW w:w="2303" w:type="dxa"/>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89" w:type="dxa"/>
                  <w:vAlign w:val="center"/>
                </w:tcPr>
                <w:p>
                  <w:pPr>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化学品泄漏；</w:t>
                  </w:r>
                </w:p>
              </w:tc>
              <w:tc>
                <w:tcPr>
                  <w:tcW w:w="4430" w:type="dxa"/>
                </w:tcPr>
                <w:p>
                  <w:pPr>
                    <w:shd w:val="clear" w:color="auto" w:fill="EBF1DE" w:themeFill="accent3" w:themeFillTint="32"/>
                    <w:jc w:val="left"/>
                    <w:rPr>
                      <w:highlight w:val="none"/>
                    </w:rPr>
                  </w:pPr>
                  <w:r>
                    <w:rPr>
                      <w:rFonts w:hint="eastAsia" w:ascii="Times New Roman" w:hAnsi="Times New Roman" w:eastAsia="宋体" w:cs="Times New Roman"/>
                      <w:highlight w:val="none"/>
                      <w:lang w:val="en-US" w:eastAsia="zh-CN"/>
                    </w:rPr>
                    <w:t>通过管理方案进行管理</w:t>
                  </w:r>
                </w:p>
              </w:tc>
              <w:tc>
                <w:tcPr>
                  <w:tcW w:w="2303" w:type="dxa"/>
                </w:tcPr>
                <w:p>
                  <w:pPr>
                    <w:shd w:val="clear" w:color="auto" w:fill="EBF1DE" w:themeFill="accent3" w:themeFillTint="32"/>
                    <w:jc w:val="left"/>
                    <w:rPr>
                      <w:highlight w:val="none"/>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lang w:eastAsia="zh-CN"/>
              </w:rPr>
              <w:t>■</w:t>
            </w:r>
            <w:r>
              <w:rPr>
                <w:rFonts w:hint="eastAsia"/>
              </w:rPr>
              <w:t xml:space="preserve">MSDS </w:t>
            </w:r>
            <w:r>
              <w:rPr>
                <w:rFonts w:hint="eastAsia" w:ascii="宋体" w:hAnsi="宋体" w:eastAsia="宋体" w:cs="宋体"/>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于2021年10月21日进行了消防火灾演练</w:t>
            </w:r>
            <w:r>
              <w:rPr>
                <w:rFonts w:hint="eastAsia"/>
                <w:highlight w:val="none"/>
              </w:rPr>
              <w:t>；并总</w:t>
            </w:r>
            <w:r>
              <w:rPr>
                <w:rFonts w:hint="eastAsia"/>
              </w:rPr>
              <w:t xml:space="preserve">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组织已建立、实施并保持</w:t>
            </w:r>
            <w:r>
              <w:rPr>
                <w:rFonts w:hint="eastAsia"/>
                <w:highlight w:val="none"/>
              </w:rPr>
              <w:t>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lang w:eastAsia="zh-CN"/>
              </w:rPr>
              <w:t>■</w:t>
            </w:r>
            <w:r>
              <w:rPr>
                <w:rFonts w:hint="eastAsia"/>
                <w:highlight w:val="none"/>
              </w:rPr>
              <w:t>定期（每年） ：</w:t>
            </w:r>
            <w:r>
              <w:rPr>
                <w:rFonts w:hint="eastAsia"/>
                <w:highlight w:val="none"/>
                <w:u w:val="single"/>
                <w:lang w:val="en-US" w:eastAsia="zh-CN"/>
              </w:rPr>
              <w:t>2021年11月15日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cs="Times New Roman"/>
                <w:highlight w:val="none"/>
                <w:u w:val="single"/>
                <w:lang w:eastAsia="zh-CN"/>
              </w:rPr>
              <w:t>2022年01月15日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highlight w:val="none"/>
                <w:u w:val="single"/>
                <w:lang w:val="en-US" w:eastAsia="zh-CN"/>
              </w:rPr>
              <w:t>2022年1月25日</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cs="宋体"/>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eastAsia" w:eastAsia="宋体"/>
                <w:lang w:eastAsia="zh-CN"/>
              </w:rPr>
            </w:pPr>
            <w:r>
              <w:rPr>
                <w:rFonts w:hint="eastAsia"/>
              </w:rPr>
              <w:t xml:space="preserve">□人员培训 </w:t>
            </w:r>
            <w:r>
              <w:rPr>
                <w:rFonts w:hint="eastAsia" w:ascii="宋体" w:hAnsi="宋体" w:cs="宋体"/>
                <w:lang w:eastAsia="zh-CN"/>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w:t>
            </w:r>
            <w:r>
              <w:rPr>
                <w:rFonts w:hint="eastAsia" w:ascii="宋体" w:hAnsi="宋体" w:cs="宋体"/>
                <w:u w:val="single"/>
                <w:lang w:eastAsia="zh-CN"/>
              </w:rPr>
              <w:t>以质为本、诚信经营、顾客满意、持续改进、以及认真仔细，快速响应，坚守承诺，精益求精,为顾客提供优质的产品</w:t>
            </w:r>
            <w:r>
              <w:rPr>
                <w:rFonts w:hint="eastAsia" w:ascii="宋体" w:hAnsi="宋体" w:eastAsia="宋体" w:cs="宋体"/>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黄俊强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highlight w:val="none"/>
                      <w:lang w:val="en-US" w:eastAsia="zh-CN"/>
                    </w:rPr>
                    <w:t>人身</w:t>
                  </w:r>
                  <w:r>
                    <w:rPr>
                      <w:rFonts w:hint="eastAsia"/>
                      <w:highlight w:val="none"/>
                    </w:rPr>
                    <w:t>伤害</w:t>
                  </w:r>
                  <w:r>
                    <w:rPr>
                      <w:rFonts w:hint="eastAsia"/>
                      <w:color w:val="auto"/>
                      <w:szCs w:val="21"/>
                    </w:rPr>
                    <w:t>（化学品中毒、生物伤害）</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287" w:type="dxa"/>
                  <w:vAlign w:val="center"/>
                </w:tcPr>
                <w:p>
                  <w:pPr>
                    <w:widowControl/>
                    <w:spacing w:before="40"/>
                    <w:jc w:val="left"/>
                    <w:rPr>
                      <w:rFonts w:hint="eastAsia" w:ascii="Times New Roman" w:hAnsi="Times New Roman" w:cs="Times New Roman"/>
                      <w:color w:val="000000"/>
                      <w:kern w:val="2"/>
                      <w:sz w:val="21"/>
                      <w:szCs w:val="18"/>
                      <w:highlight w:val="red"/>
                      <w:lang w:val="en-US" w:eastAsia="zh-CN" w:bidi="ar-SA"/>
                    </w:rPr>
                  </w:pPr>
                </w:p>
              </w:tc>
              <w:tc>
                <w:tcPr>
                  <w:tcW w:w="4518" w:type="dxa"/>
                </w:tcPr>
                <w:p>
                  <w:pPr>
                    <w:rPr>
                      <w:rFonts w:hint="eastAsia" w:asciiTheme="minorEastAsia" w:hAnsiTheme="minorEastAsia" w:eastAsiaTheme="minorEastAsia"/>
                      <w:b w:val="0"/>
                      <w:bCs w:val="0"/>
                      <w:sz w:val="21"/>
                      <w:szCs w:val="21"/>
                      <w:highlight w:val="red"/>
                      <w:lang w:val="en-US" w:eastAsia="zh-CN"/>
                    </w:rPr>
                  </w:pPr>
                </w:p>
              </w:tc>
              <w:tc>
                <w:tcPr>
                  <w:tcW w:w="1717" w:type="dxa"/>
                </w:tcPr>
                <w:p>
                  <w:pPr>
                    <w:rPr>
                      <w:rFonts w:hint="eastAsia"/>
                      <w:highlight w:val="red"/>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p>
              </w:tc>
              <w:tc>
                <w:tcPr>
                  <w:tcW w:w="4518" w:type="dxa"/>
                </w:tcPr>
                <w:p>
                  <w:pPr>
                    <w:rPr>
                      <w:rFonts w:hint="eastAsia" w:asciiTheme="minorEastAsia" w:hAnsiTheme="minorEastAsia" w:eastAsiaTheme="minorEastAsia"/>
                      <w:b w:val="0"/>
                      <w:bCs w:val="0"/>
                      <w:sz w:val="21"/>
                      <w:szCs w:val="21"/>
                      <w:highlight w:val="none"/>
                      <w:lang w:val="en-US" w:eastAsia="zh-CN"/>
                    </w:rPr>
                  </w:pPr>
                </w:p>
              </w:tc>
              <w:tc>
                <w:tcPr>
                  <w:tcW w:w="1717" w:type="dxa"/>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 xml:space="preserve">□机械伤害  □触电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人身伤害</w:t>
            </w:r>
            <w:r>
              <w:rPr>
                <w:rFonts w:hint="eastAsia" w:ascii="Times New Roman" w:hAnsi="Times New Roman" w:eastAsia="宋体" w:cs="Times New Roman"/>
                <w:sz w:val="21"/>
                <w:szCs w:val="21"/>
              </w:rPr>
              <w:t>（化学品中毒、生物伤害）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□漏电保护  </w:t>
            </w:r>
            <w:r>
              <w:rPr>
                <w:rFonts w:hint="eastAsia"/>
                <w:lang w:eastAsia="zh-CN"/>
              </w:rPr>
              <w:t>■</w:t>
            </w:r>
            <w:r>
              <w:rPr>
                <w:rFonts w:hint="eastAsia"/>
              </w:rPr>
              <w:t>穿戴劳保用品 □作业票管理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火灾事故发生为0</w:t>
                  </w:r>
                </w:p>
              </w:tc>
              <w:tc>
                <w:tcPr>
                  <w:tcW w:w="3464" w:type="dxa"/>
                  <w:shd w:val="clear" w:color="auto" w:fill="auto"/>
                  <w:vAlign w:val="center"/>
                </w:tcPr>
                <w:p>
                  <w:pPr>
                    <w:rPr>
                      <w:rFonts w:hint="eastAsia" w:ascii="Times New Roman" w:hAnsi="Times New Roman" w:cs="Times New Roman"/>
                      <w:highlight w:val="none"/>
                      <w:lang w:val="en-GB" w:eastAsia="zh-CN"/>
                    </w:rPr>
                  </w:pPr>
                  <w:r>
                    <w:rPr>
                      <w:rFonts w:hint="eastAsia" w:ascii="Times New Roman" w:hAnsi="Times New Roman" w:cs="Times New Roman"/>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轻伤</w:t>
                  </w:r>
                  <w:r>
                    <w:rPr>
                      <w:rFonts w:hint="eastAsia" w:cs="Times New Roman"/>
                      <w:highlight w:val="none"/>
                      <w:lang w:val="en-US" w:eastAsia="zh-CN"/>
                    </w:rPr>
                    <w:t>事故</w:t>
                  </w:r>
                  <w:r>
                    <w:rPr>
                      <w:rFonts w:hint="eastAsia" w:ascii="Times New Roman" w:hAnsi="Times New Roman" w:cs="Times New Roman"/>
                      <w:highlight w:val="none"/>
                      <w:lang w:val="en-US" w:eastAsia="zh-CN"/>
                    </w:rPr>
                    <w:t>为零</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ind w:firstLine="630" w:firstLineChars="3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eastAsia="宋体"/>
                      <w:highlight w:val="none"/>
                      <w:lang w:val="en-US" w:eastAsia="zh-CN"/>
                    </w:rPr>
                  </w:pPr>
                </w:p>
              </w:tc>
              <w:tc>
                <w:tcPr>
                  <w:tcW w:w="1547" w:type="dxa"/>
                  <w:shd w:val="clear" w:color="auto" w:fill="auto"/>
                  <w:vAlign w:val="center"/>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组织应确定、提供并维护所需的基础设施情况：</w:t>
            </w:r>
          </w:p>
          <w:p>
            <w:pPr>
              <w:pStyle w:val="3"/>
              <w:ind w:left="0" w:leftChars="0" w:firstLine="0" w:firstLineChars="0"/>
            </w:pPr>
            <w:r>
              <w:rPr>
                <w:rFonts w:hint="eastAsia" w:cs="Times New Roman"/>
                <w:lang w:val="en-US" w:eastAsia="zh-CN"/>
              </w:rPr>
              <w:t>办公场所共约30平方米；临时场所1个；库房 1  个；实验室   个</w:t>
            </w:r>
          </w:p>
          <w:p>
            <w:pPr>
              <w:rPr>
                <w:rFonts w:hint="eastAsia" w:ascii="Times New Roman" w:hAnsi="Times New Roman" w:eastAsia="宋体" w:cs="Times New Roman"/>
                <w:u w:val="single"/>
                <w:lang w:eastAsia="zh-CN"/>
              </w:rPr>
            </w:pPr>
            <w:r>
              <w:rPr>
                <w:rFonts w:hint="eastAsia" w:ascii="Times New Roman" w:hAnsi="Times New Roman" w:eastAsia="宋体" w:cs="Times New Roman"/>
              </w:rPr>
              <w:t>主要生产设备有：</w:t>
            </w:r>
            <w:r>
              <w:rPr>
                <w:rFonts w:hint="eastAsia" w:ascii="宋体" w:hAnsi="宋体" w:cs="宋体"/>
                <w:sz w:val="21"/>
                <w:szCs w:val="21"/>
                <w:u w:val="single"/>
              </w:rPr>
              <w:t>喷药设备、应急防护包、梯子、溢漏应急包、工作警示牌、个人防护装备</w:t>
            </w:r>
            <w:r>
              <w:rPr>
                <w:rFonts w:hint="eastAsia" w:ascii="Times New Roman" w:hAnsi="Times New Roman" w:eastAsia="宋体" w:cs="Times New Roman"/>
                <w:u w:val="singl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□急停按钮</w:t>
            </w:r>
            <w:r>
              <w:rPr>
                <w:rFonts w:hint="eastAsia"/>
              </w:rPr>
              <w:t xml:space="preserve">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cs="Times New Roman"/>
                <w:u w:val="single"/>
                <w:lang w:val="en-US" w:eastAsia="zh-CN"/>
              </w:rPr>
              <w:t xml:space="preserve">    </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cs="Times New Roman"/>
                <w:lang w:eastAsia="zh-CN"/>
              </w:rPr>
              <w:t>□电工</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Times New Roman" w:hAnsi="Times New Roman" w:cs="Times New Roman"/>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宋体" w:hAnsi="宋体" w:cs="宋体"/>
                <w:lang w:eastAsia="zh-CN"/>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宋体" w:hAnsi="宋体" w:eastAsia="宋体" w:cs="宋体"/>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□除尘装置  □穿戴劳保用品（防尘面罩）</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cs="Times New Roman"/>
                <w:lang w:eastAsia="zh-CN"/>
              </w:rPr>
              <w:t>管理：□进行了定期检验</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 xml:space="preserve">MSDS </w:t>
            </w:r>
            <w:r>
              <w:rPr>
                <w:rFonts w:hint="eastAsia" w:ascii="宋体" w:hAnsi="宋体" w:eastAsia="宋体" w:cs="宋体"/>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于2021年10月21日进行了消防火灾演练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default" w:eastAsia="宋体"/>
                <w:highlight w:val="red"/>
                <w:u w:val="single"/>
                <w:lang w:val="en-US"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val="en-US" w:eastAsia="zh-CN"/>
              </w:rPr>
              <w:t>2021年11月15日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cs="Times New Roman"/>
                <w:highlight w:val="none"/>
                <w:u w:val="single"/>
                <w:lang w:eastAsia="zh-CN"/>
              </w:rPr>
              <w:t>2022年01月15日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olor w:val="000000"/>
                <w:szCs w:val="18"/>
                <w:highlight w:val="none"/>
                <w:u w:val="single"/>
                <w:lang w:val="en-US" w:eastAsia="zh-CN"/>
              </w:rPr>
              <w:t>2022年1月25日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宋体" w:hAnsi="宋体" w:eastAsia="宋体" w:cs="宋体"/>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2776FE"/>
    <w:rsid w:val="186E51A7"/>
    <w:rsid w:val="1E390B15"/>
    <w:rsid w:val="42602158"/>
    <w:rsid w:val="547846DC"/>
    <w:rsid w:val="67BA0E3C"/>
    <w:rsid w:val="6F0D1EF4"/>
    <w:rsid w:val="6F4831D1"/>
    <w:rsid w:val="7CAE06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Normal Indent"/>
    <w:basedOn w:val="1"/>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2022-03-20T01:15:33Z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