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-1213485</wp:posOffset>
            </wp:positionV>
            <wp:extent cx="7012940" cy="9989820"/>
            <wp:effectExtent l="0" t="0" r="10160" b="508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294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>
      <w:pPr>
        <w:rPr>
          <w:b/>
          <w:sz w:val="22"/>
          <w:szCs w:val="22"/>
        </w:rPr>
      </w:pP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32"/>
        <w:gridCol w:w="1301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hint="eastAsia" w:ascii="Times New Roman" w:hAnsi="Times New Roman" w:eastAsia="宋体" w:cs="Times New Roman"/>
                <w:b/>
                <w:sz w:val="22"/>
                <w:szCs w:val="22"/>
              </w:rPr>
              <w:t>四川冶圣教学设备有限公司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bookmarkStart w:id="3" w:name="专业代码"/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  <w:bookmarkEnd w:id="3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30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销售流程：</w:t>
            </w:r>
            <w:r>
              <w:rPr>
                <w:rFonts w:hint="eastAsia"/>
                <w:b/>
                <w:sz w:val="20"/>
              </w:rPr>
              <w:t>客户洽谈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合同评审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合同签订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采购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销售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售后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关键</w:t>
            </w:r>
            <w:r>
              <w:rPr>
                <w:rFonts w:hint="eastAsia"/>
                <w:b/>
                <w:sz w:val="20"/>
                <w:lang w:val="en-US" w:eastAsia="zh-CN"/>
              </w:rPr>
              <w:t>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jc w:val="center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关键过程：销售服务过程，主要控制服务流程</w:t>
            </w:r>
          </w:p>
          <w:p>
            <w:pPr>
              <w:jc w:val="center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特殊过程：销售服务过程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质量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pacing w:line="360" w:lineRule="auto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中华人民共和国产品质量法2000.9.1、中华人民共和国合同法1993年3月、中华人民共和国消费者权益保护法1994年1月1日、GB/T 17705-1999《销售数据报告报文》1999-10-01、GB/T 17706-1999《销售预测报文》1999-10-01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主要通过对顾客满意度调查等手段对销售服务过程进行检验。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208280</wp:posOffset>
                  </wp:positionV>
                  <wp:extent cx="812165" cy="275590"/>
                  <wp:effectExtent l="0" t="0" r="635" b="3810"/>
                  <wp:wrapNone/>
                  <wp:docPr id="1" name="图片 1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241935</wp:posOffset>
                  </wp:positionV>
                  <wp:extent cx="812165" cy="275590"/>
                  <wp:effectExtent l="0" t="0" r="635" b="3810"/>
                  <wp:wrapNone/>
                  <wp:docPr id="13" name="图片 13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-989965</wp:posOffset>
            </wp:positionV>
            <wp:extent cx="7581900" cy="10646410"/>
            <wp:effectExtent l="0" t="0" r="0" b="889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32"/>
        <w:gridCol w:w="1301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2"/>
                <w:szCs w:val="22"/>
              </w:rPr>
              <w:t>四川冶圣教学设备有限公司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30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销售流程：</w:t>
            </w:r>
            <w:r>
              <w:rPr>
                <w:rFonts w:hint="eastAsia"/>
                <w:b/>
                <w:sz w:val="20"/>
              </w:rPr>
              <w:t>客户洽谈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合同评审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合同签订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采购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销售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售后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</w:t>
            </w:r>
            <w:r>
              <w:rPr>
                <w:rFonts w:hint="eastAsia"/>
                <w:b/>
                <w:sz w:val="20"/>
                <w:lang w:val="en-US" w:eastAsia="zh-CN"/>
              </w:rPr>
              <w:t>因素</w:t>
            </w:r>
            <w:r>
              <w:rPr>
                <w:rFonts w:hint="eastAsia"/>
                <w:b/>
                <w:sz w:val="20"/>
              </w:rPr>
              <w:t>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重要环境因素：潜在火灾、固废排放，通过环境管理方案进行控制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环境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中华人民共和国产品质量法2000.9.1、中华人民共和国合同法1993年3月、中华人民共和国消费者权益保护法1994年1月1日、GB/T 17705-1999《销售数据报告报文》1999-10-01、GB/T 17706-1999《销售预测报文》1999-10-01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不适应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208280</wp:posOffset>
                  </wp:positionV>
                  <wp:extent cx="812165" cy="275590"/>
                  <wp:effectExtent l="0" t="0" r="635" b="3810"/>
                  <wp:wrapNone/>
                  <wp:docPr id="5" name="图片 5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241935</wp:posOffset>
                  </wp:positionV>
                  <wp:extent cx="812165" cy="275590"/>
                  <wp:effectExtent l="0" t="0" r="635" b="3810"/>
                  <wp:wrapNone/>
                  <wp:docPr id="6" name="图片 6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-982980</wp:posOffset>
            </wp:positionV>
            <wp:extent cx="7376795" cy="10577195"/>
            <wp:effectExtent l="0" t="0" r="1905" b="190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5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spacing w:before="120" w:beforeLines="5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hint="eastAsia" w:ascii="宋体" w:hAnsi="宋体"/>
          <w:b/>
          <w:sz w:val="30"/>
          <w:szCs w:val="30"/>
        </w:rPr>
        <w:t>专业培训记录</w:t>
      </w:r>
    </w:p>
    <w:p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Style w:val="6"/>
        <w:tblW w:w="1067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"/>
        <w:gridCol w:w="1340"/>
        <w:gridCol w:w="1232"/>
        <w:gridCol w:w="1301"/>
        <w:gridCol w:w="1289"/>
        <w:gridCol w:w="1505"/>
        <w:gridCol w:w="190"/>
        <w:gridCol w:w="1529"/>
        <w:gridCol w:w="137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  <w:jc w:val="center"/>
        </w:trPr>
        <w:tc>
          <w:tcPr>
            <w:tcW w:w="224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Times New Roman" w:hAnsi="Times New Roman" w:eastAsia="宋体" w:cs="Times New Roman"/>
                <w:b/>
                <w:sz w:val="22"/>
                <w:szCs w:val="22"/>
              </w:rPr>
              <w:t>四川冶圣教学设备有限公司</w:t>
            </w:r>
          </w:p>
        </w:tc>
        <w:tc>
          <w:tcPr>
            <w:tcW w:w="1719" w:type="dxa"/>
            <w:gridSpan w:val="2"/>
            <w:tcBorders>
              <w:top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>
            <w:pPr>
              <w:snapToGrid w:val="0"/>
              <w:spacing w:line="280" w:lineRule="exact"/>
              <w:ind w:left="52" w:leftChars="0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color="auto" w:sz="8" w:space="0"/>
            </w:tcBorders>
            <w:vAlign w:val="center"/>
          </w:tcPr>
          <w:p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224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宋明珠</w:t>
            </w: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>
            <w:r>
              <w:t>Q：29.12.00</w:t>
            </w:r>
          </w:p>
          <w:p>
            <w:pPr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E：29.12.00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Times New Roman" w:hAnsi="Times New Roman" w:eastAsia="宋体" w:cs="Times New Roman"/>
              </w:rPr>
              <w:t>O：29.12.00</w:t>
            </w: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会议室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  <w:jc w:val="center"/>
        </w:trPr>
        <w:tc>
          <w:tcPr>
            <w:tcW w:w="909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2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罗田</w:t>
            </w:r>
          </w:p>
        </w:tc>
        <w:tc>
          <w:tcPr>
            <w:tcW w:w="130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6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销售流程：</w:t>
            </w:r>
            <w:r>
              <w:rPr>
                <w:rFonts w:hint="eastAsia"/>
                <w:b/>
                <w:sz w:val="20"/>
              </w:rPr>
              <w:t>客户洽谈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合同评审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合同签订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采购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销售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交付</w:t>
            </w:r>
            <w:r>
              <w:rPr>
                <w:rFonts w:hint="default"/>
                <w:b/>
                <w:sz w:val="20"/>
              </w:rPr>
              <w:t>→</w:t>
            </w:r>
            <w:r>
              <w:rPr>
                <w:rFonts w:hint="eastAsia"/>
                <w:b/>
                <w:sz w:val="20"/>
              </w:rPr>
              <w:t>售后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val="en-US" w:eastAsia="zh-CN"/>
              </w:rPr>
              <w:t>和</w:t>
            </w:r>
            <w:r>
              <w:rPr>
                <w:rFonts w:hint="eastAsia"/>
                <w:b/>
                <w:sz w:val="20"/>
              </w:rPr>
              <w:t>危险源及控制措施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both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不可接受风险</w:t>
            </w:r>
            <w:r>
              <w:rPr>
                <w:rFonts w:hint="eastAsia"/>
                <w:b/>
                <w:sz w:val="20"/>
                <w:lang w:eastAsia="zh-CN"/>
              </w:rPr>
              <w:t>：</w:t>
            </w:r>
            <w:r>
              <w:rPr>
                <w:rFonts w:hint="eastAsia"/>
                <w:b/>
                <w:sz w:val="20"/>
                <w:lang w:val="en-US" w:eastAsia="zh-CN"/>
              </w:rPr>
              <w:t>交通事故、火灾、触电</w:t>
            </w:r>
          </w:p>
          <w:p>
            <w:pPr>
              <w:snapToGrid w:val="0"/>
              <w:spacing w:line="280" w:lineRule="exact"/>
              <w:jc w:val="both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控制措施</w:t>
            </w:r>
            <w:r>
              <w:rPr>
                <w:rFonts w:hint="eastAsia"/>
                <w:b/>
                <w:sz w:val="20"/>
                <w:lang w:eastAsia="zh-CN"/>
              </w:rPr>
              <w:t>：</w:t>
            </w:r>
            <w:r>
              <w:rPr>
                <w:rFonts w:hint="eastAsia"/>
                <w:b/>
                <w:sz w:val="20"/>
                <w:lang w:val="en-US" w:eastAsia="zh-CN"/>
              </w:rPr>
              <w:t>不可接受风险管控措施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1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</w:t>
            </w:r>
            <w:r>
              <w:rPr>
                <w:rFonts w:hint="eastAsia"/>
                <w:b/>
                <w:sz w:val="20"/>
                <w:lang w:val="en-US" w:eastAsia="zh-CN"/>
              </w:rPr>
              <w:t>职业健康安全</w:t>
            </w:r>
            <w:r>
              <w:rPr>
                <w:rFonts w:hint="eastAsia"/>
                <w:b/>
                <w:sz w:val="20"/>
              </w:rPr>
              <w:t>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中华人民共和国产品质量法2000.9.1、中华人民共和国合同法1993年3月、中华人民共和国消费者权益保护法1994年1月1日、GB/T 17705-1999《销售数据报告报文》1999-10-01、GB/T 17706-1999《销售预测报文》1999-10-01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8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14"/>
                <w:szCs w:val="14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不适用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填表人</w:t>
            </w:r>
          </w:p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hint="eastAsia" w:ascii="宋体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208280</wp:posOffset>
                  </wp:positionV>
                  <wp:extent cx="812165" cy="275590"/>
                  <wp:effectExtent l="0" t="0" r="635" b="3810"/>
                  <wp:wrapNone/>
                  <wp:docPr id="9" name="图片 9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49" w:type="dxa"/>
            <w:gridSpan w:val="2"/>
            <w:tcBorders>
              <w:left w:val="single" w:color="auto" w:sz="4" w:space="0"/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ascii="宋体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 w:eastAsia="宋体"/>
                <w:sz w:val="22"/>
                <w:szCs w:val="22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241935</wp:posOffset>
                  </wp:positionV>
                  <wp:extent cx="812165" cy="275590"/>
                  <wp:effectExtent l="0" t="0" r="635" b="3810"/>
                  <wp:wrapNone/>
                  <wp:docPr id="10" name="图片 10" descr="d65153f20abdb73c162b984abccbf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65153f20abdb73c162b984abccbf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47" t="9871" r="7157" b="20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65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4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2022.3.17</w:t>
            </w:r>
          </w:p>
        </w:tc>
      </w:tr>
    </w:tbl>
    <w:p>
      <w:pPr>
        <w:snapToGrid w:val="0"/>
        <w:rPr>
          <w:rFonts w:ascii="宋体"/>
          <w:b/>
          <w:sz w:val="22"/>
          <w:szCs w:val="22"/>
        </w:rPr>
      </w:pPr>
    </w:p>
    <w:p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hint="eastAsia" w:ascii="宋体"/>
          <w:b/>
          <w:spacing w:val="-6"/>
          <w:sz w:val="21"/>
          <w:szCs w:val="21"/>
        </w:rPr>
        <w:t>注：如有其他培训内容或空格不够可另加附页</w:t>
      </w: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p>
      <w:pPr>
        <w:snapToGrid w:val="0"/>
        <w:rPr>
          <w:rFonts w:hint="eastAsia" w:ascii="宋体"/>
          <w:b/>
          <w:spacing w:val="-6"/>
          <w:sz w:val="21"/>
          <w:szCs w:val="21"/>
        </w:rPr>
      </w:pPr>
    </w:p>
    <w:sectPr>
      <w:headerReference r:id="rId3" w:type="default"/>
      <w:pgSz w:w="11906" w:h="16838"/>
      <w:pgMar w:top="1134" w:right="1077" w:bottom="1134" w:left="1077" w:header="561" w:footer="482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945" w:firstLineChars="450"/>
      <w:jc w:val="left"/>
      <w:rPr>
        <w:rStyle w:val="11"/>
        <w:rFonts w:hint="default"/>
      </w:rPr>
    </w:pPr>
    <w:r>
      <w:rPr>
        <w:rStyle w:val="11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900" w:firstLineChars="500"/>
      <w:jc w:val="left"/>
    </w:pPr>
    <w:r>
      <w:pict>
        <v:shape id="_x0000_s3073" o:spid="_x0000_s3073" o:spt="202" type="#_x0000_t202" style="position:absolute;left:0pt;margin-left:379.65pt;margin-top:2.8pt;height:20.2pt;width:111.8pt;z-index:251659264;mso-width-relative:page;mso-height-relative:page;" fillcolor="#FFFFFF" filled="t" stroked="f" coordsize="21600,21600">
          <v:path/>
          <v:fill on="t"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  <w:p>
    <w:pPr>
      <w:tabs>
        <w:tab w:val="left" w:pos="9245"/>
      </w:tabs>
      <w:wordWrap w:val="0"/>
      <w:ind w:right="64" w:firstLine="4600" w:firstLineChars="23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000000"/>
    <w:rsid w:val="2FB95800"/>
    <w:rsid w:val="3FB417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paragraph" w:styleId="2">
    <w:name w:val="heading 3"/>
    <w:basedOn w:val="1"/>
    <w:next w:val="1"/>
    <w:qFormat/>
    <w:locked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脚 Char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Char"/>
    <w:link w:val="5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link w:val="3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995</Words>
  <Characters>1346</Characters>
  <Lines>2</Lines>
  <Paragraphs>1</Paragraphs>
  <TotalTime>1</TotalTime>
  <ScaleCrop>false</ScaleCrop>
  <LinksUpToDate>false</LinksUpToDate>
  <CharactersWithSpaces>1355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2015-06-17T11:40:00Z</dcterms:created>
  <dc:creator>微软用户</dc:creator>
  <cp:lastModifiedBy>宋明珠</cp:lastModifiedBy>
  <dcterms:modified xsi:type="dcterms:W3CDTF">2022-03-23T15:00:01Z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2052-11.1.0.11365</vt:lpwstr>
  </property>
</Properties>
</file>