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杭州瑞霖化工有限公司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林兵</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2022年3月24日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2022年3月26日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2022年3月26日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A7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8</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2022-03-22T05:06:27Z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