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166</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石家庄京华电缆有限公司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石家庄京华电缆有限公司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河北省石家庄市元氏县南因镇董堡村西北</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河北省石家庄市元氏县南因镇董堡村西北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刘增棉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13933149615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刘增棉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刘增棉</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ighlight w:val="cyan"/>
              </w:rPr>
              <w:t>多班次说明</w:t>
            </w:r>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rPr>
                <w:rFonts w:hint="eastAsia"/>
                <w:b w:val="0"/>
                <w:bCs/>
                <w:sz w:val="20"/>
              </w:rPr>
            </w:pPr>
            <w:r>
              <w:rPr>
                <w:rFonts w:hint="eastAsia"/>
                <w:b w:val="0"/>
                <w:bCs/>
                <w:sz w:val="20"/>
              </w:rPr>
              <w:t>电线：铜丝/铝丝---电阻检测---绝缘挤出--冷却---喷码---线径测量仪---电火花检验--电阻检验--收线--轮廓测量--成品</w:t>
            </w:r>
          </w:p>
          <w:p>
            <w:r>
              <w:rPr>
                <w:rFonts w:hint="eastAsia"/>
                <w:b w:val="0"/>
                <w:bCs/>
                <w:sz w:val="20"/>
              </w:rPr>
              <w:t>电缆：铜丝/铝丝---电阻检测---绞制---绝缘挤出--冷却---温水交联---成缆---护套挤出---冷却--喷码--电火花检验--测压--收卷--轮廓测量--成品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b/>
                <w:sz w:val="20"/>
              </w:rPr>
              <w:t>2022年03月22日 上午至2022年03月24日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9" w:name="注册地址"/>
            <w:r>
              <w:rPr>
                <w:rFonts w:asciiTheme="minorEastAsia" w:hAnsiTheme="minorEastAsia" w:eastAsiaTheme="minorEastAsia"/>
                <w:sz w:val="20"/>
              </w:rPr>
              <w:t>河北省石家庄市元氏县南因镇董堡村西北</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20" w:name="审核范围"/>
            <w:r>
              <w:rPr>
                <w:sz w:val="20"/>
              </w:rPr>
              <w:t>Q：资质许可范围内电线电缆的生产</w:t>
            </w:r>
          </w:p>
          <w:p>
            <w:pPr>
              <w:rPr>
                <w:sz w:val="20"/>
              </w:rPr>
            </w:pPr>
            <w:r>
              <w:rPr>
                <w:sz w:val="20"/>
              </w:rPr>
              <w:t>E：资质许可范围内电线电缆的生产所涉及场所的相关环境管理活动</w:t>
            </w:r>
          </w:p>
          <w:p>
            <w:r>
              <w:rPr>
                <w:sz w:val="20"/>
              </w:rPr>
              <w:t>O：资质许可范围内电线电缆的生产所涉及场所的相关职业健康安全管理活动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sz w:val="20"/>
              </w:rPr>
            </w:pPr>
            <w:bookmarkStart w:id="21" w:name="专业代码"/>
            <w:r>
              <w:rPr>
                <w:sz w:val="20"/>
              </w:rPr>
              <w:t>Q：19.11.02</w:t>
            </w:r>
          </w:p>
          <w:p>
            <w:pPr>
              <w:jc w:val="left"/>
              <w:rPr>
                <w:sz w:val="20"/>
              </w:rPr>
            </w:pPr>
            <w:r>
              <w:rPr>
                <w:sz w:val="20"/>
              </w:rPr>
              <w:t>E：19.11.02</w:t>
            </w:r>
          </w:p>
          <w:p>
            <w:r>
              <w:rPr>
                <w:sz w:val="20"/>
              </w:rPr>
              <w:t>O：19.11.02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石家庄京华电缆有限公司</w:t>
            </w:r>
          </w:p>
          <w:p>
            <w:pPr>
              <w:spacing w:before="40" w:after="40"/>
              <w:rPr>
                <w:rFonts w:eastAsia="黑体"/>
                <w:szCs w:val="21"/>
                <w:lang w:val="de-DE" w:eastAsia="ja-JP"/>
              </w:rPr>
            </w:pPr>
            <w:r>
              <w:rPr>
                <w:rFonts w:hint="eastAsia" w:eastAsia="黑体"/>
                <w:szCs w:val="21"/>
                <w:lang w:val="de-DE" w:eastAsia="ja-JP"/>
              </w:rPr>
              <w:t>河北省石家庄市元氏县南因镇董堡村西北</w:t>
            </w:r>
          </w:p>
        </w:tc>
        <w:tc>
          <w:tcPr>
            <w:tcW w:w="1499" w:type="dxa"/>
          </w:tcPr>
          <w:p>
            <w:pPr>
              <w:spacing w:before="40" w:after="40"/>
              <w:rPr>
                <w:rFonts w:eastAsia="黑体"/>
                <w:szCs w:val="21"/>
                <w:lang w:val="de-DE" w:eastAsia="ja-JP"/>
              </w:rPr>
            </w:pPr>
            <w:r>
              <w:rPr>
                <w:rFonts w:hint="eastAsia" w:eastAsia="黑体"/>
                <w:szCs w:val="21"/>
                <w:lang w:val="de-DE" w:eastAsia="ja-JP"/>
              </w:rPr>
              <w:t>河北省石家庄市元氏县南因镇董堡村西北</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38</w:t>
            </w:r>
          </w:p>
        </w:tc>
        <w:tc>
          <w:tcPr>
            <w:tcW w:w="2267" w:type="dxa"/>
            <w:vAlign w:val="center"/>
          </w:tcPr>
          <w:p>
            <w:pPr>
              <w:pStyle w:val="21"/>
              <w:rPr>
                <w:rFonts w:hint="eastAsia" w:eastAsia="黑体" w:cs="Arial"/>
                <w:sz w:val="21"/>
                <w:szCs w:val="21"/>
                <w:lang w:val="en-US" w:eastAsia="zh-CN"/>
              </w:rPr>
            </w:pPr>
            <w:r>
              <w:rPr>
                <w:sz w:val="21"/>
                <w:szCs w:val="21"/>
              </w:rPr>
              <w:t>资质许可范围内电线电缆的生产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Q:19.11.02</w:t>
            </w:r>
          </w:p>
          <w:p>
            <w:r>
              <w:t>E:19.11.02</w:t>
            </w:r>
          </w:p>
          <w:p>
            <w:pPr>
              <w:rPr>
                <w:rFonts w:ascii="Times New Roman" w:hAnsi="Times New Roman" w:eastAsia="宋体" w:cs="Times New Roman"/>
                <w:kern w:val="2"/>
                <w:sz w:val="21"/>
                <w:szCs w:val="24"/>
                <w:lang w:val="en-US" w:eastAsia="zh-CN" w:bidi="ar-SA"/>
              </w:rPr>
            </w:pPr>
            <w:r>
              <w:t>O:19.11.02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702"/>
              </w:tabs>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Pr>
        <w:numPr>
          <w:ilvl w:val="0"/>
          <w:numId w:val="2"/>
        </w:numPr>
        <w:rPr>
          <w:rFonts w:hint="eastAsia"/>
        </w:rPr>
      </w:pPr>
      <w:r>
        <w:rPr>
          <w:rFonts w:hint="eastAsia"/>
        </w:rPr>
        <w:t>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203835</wp:posOffset>
                  </wp:positionH>
                  <wp:positionV relativeFrom="paragraph">
                    <wp:posOffset>212090</wp:posOffset>
                  </wp:positionV>
                  <wp:extent cx="1007110" cy="48514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C7DAF1" w:themeFill="text2" w:themeFillTint="32"/>
              <w:rPr>
                <w:rFonts w:hint="eastAsia" w:ascii="Times New Roman" w:hAnsi="Times New Roman" w:cs="Times New Roman"/>
                <w:b/>
                <w:bCs/>
                <w:lang w:val="en-US" w:eastAsia="zh-CN"/>
              </w:rPr>
            </w:pPr>
            <w:r>
              <w:rPr>
                <w:rFonts w:hint="eastAsia" w:ascii="Times New Roman" w:hAnsi="Times New Roman" w:cs="Times New Roman"/>
                <w:b/>
                <w:bCs/>
                <w:lang w:val="en-US" w:eastAsia="zh-CN"/>
              </w:rPr>
              <w:t>通过持续改进，确保顾客始终满意是我们永恒的追求；</w:t>
            </w:r>
          </w:p>
          <w:p>
            <w:pPr>
              <w:shd w:val="clear" w:color="auto" w:fill="C7DAF1" w:themeFill="text2" w:themeFillTint="32"/>
              <w:rPr>
                <w:rFonts w:hint="eastAsia" w:ascii="Times New Roman" w:hAnsi="Times New Roman" w:cs="Times New Roman"/>
                <w:b/>
                <w:bCs/>
              </w:rPr>
            </w:pPr>
            <w:r>
              <w:rPr>
                <w:rFonts w:hint="eastAsia" w:ascii="Times New Roman" w:hAnsi="Times New Roman" w:cs="Times New Roman"/>
                <w:b/>
                <w:bCs/>
              </w:rPr>
              <w:t>预防污染，达标排放，节能降耗，建设绿色环保型企业；</w:t>
            </w:r>
          </w:p>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b/>
                <w:bCs/>
              </w:rPr>
              <w:t>安全第一，预防为主，有法可依，员工的安全</w:t>
            </w:r>
            <w:r>
              <w:rPr>
                <w:rFonts w:hint="eastAsia" w:ascii="Times New Roman" w:hAnsi="Times New Roman" w:cs="Times New Roman"/>
                <w:b/>
                <w:bCs/>
                <w:lang w:val="en-US" w:eastAsia="zh-CN"/>
              </w:rPr>
              <w:t>健康至上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9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1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center"/>
                </w:tcPr>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一次交付合格率100%</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center"/>
                </w:tcPr>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客户满意率≥95%</w:t>
                  </w:r>
                </w:p>
              </w:tc>
              <w:tc>
                <w:tcPr>
                  <w:tcW w:w="2910"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办公室</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成缆铠装机、悬臂式单绞成缆机、挤出机、高速编织机、绕包机束线机、双绞机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查未对无纺布供应商进行评价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rFonts w:hint="eastAsia"/>
                      <w:sz w:val="20"/>
                      <w:lang w:val="en-US" w:eastAsia="zh-CN"/>
                    </w:rPr>
                    <w:t>电线/电缆</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挤出</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挤出</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见附件</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1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EBF1DE" w:themeFill="accent3" w:themeFillTint="32"/>
              <w:rPr>
                <w:rFonts w:hint="eastAsia" w:ascii="Times New Roman" w:hAnsi="Times New Roman" w:cs="Times New Roman"/>
                <w:b/>
                <w:bCs/>
                <w:lang w:val="en-US" w:eastAsia="zh-CN"/>
              </w:rPr>
            </w:pPr>
            <w:r>
              <w:rPr>
                <w:rFonts w:hint="eastAsia" w:ascii="Times New Roman" w:hAnsi="Times New Roman" w:cs="Times New Roman"/>
                <w:b/>
                <w:bCs/>
                <w:lang w:val="en-US" w:eastAsia="zh-CN"/>
              </w:rPr>
              <w:t>通过持续改进，确保顾客始终满意是我们永恒的追求；</w:t>
            </w:r>
          </w:p>
          <w:p>
            <w:pPr>
              <w:shd w:val="clear" w:color="auto" w:fill="EBF1DE" w:themeFill="accent3" w:themeFillTint="32"/>
              <w:rPr>
                <w:rFonts w:hint="eastAsia" w:ascii="Times New Roman" w:hAnsi="Times New Roman" w:cs="Times New Roman"/>
                <w:b/>
                <w:bCs/>
              </w:rPr>
            </w:pPr>
            <w:r>
              <w:rPr>
                <w:rFonts w:hint="eastAsia" w:ascii="Times New Roman" w:hAnsi="Times New Roman" w:cs="Times New Roman"/>
                <w:b/>
                <w:bCs/>
              </w:rPr>
              <w:t>预防污染，达标排放，节能降耗，建设绿色环保型企业；</w:t>
            </w:r>
          </w:p>
          <w:p>
            <w:pPr>
              <w:shd w:val="clear" w:color="auto" w:fill="EBF1DE" w:themeFill="accent3" w:themeFillTint="32"/>
              <w:rPr>
                <w:rFonts w:hint="eastAsia" w:ascii="Times New Roman" w:hAnsi="Times New Roman" w:cs="Times New Roman"/>
                <w:b/>
                <w:bCs/>
                <w:lang w:val="en-US" w:eastAsia="zh-CN"/>
              </w:rPr>
            </w:pPr>
            <w:r>
              <w:rPr>
                <w:rFonts w:hint="eastAsia" w:ascii="Times New Roman" w:hAnsi="Times New Roman" w:cs="Times New Roman"/>
                <w:b/>
                <w:bCs/>
              </w:rPr>
              <w:t>安全第一，预防为主，有法可依，员工的安全</w:t>
            </w:r>
            <w:r>
              <w:rPr>
                <w:rFonts w:hint="eastAsia" w:ascii="Times New Roman" w:hAnsi="Times New Roman" w:cs="Times New Roman"/>
                <w:b/>
                <w:bCs/>
                <w:lang w:val="en-US" w:eastAsia="zh-CN"/>
              </w:rPr>
              <w:t>健康至上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1严格制定保养、大修制度，制定专人进行设备管理。2制定管理方案3检修和保养有噪声、</w:t>
                  </w:r>
                  <w:r>
                    <w:rPr>
                      <w:rFonts w:hint="eastAsia" w:ascii="Times New Roman" w:hAnsi="Times New Roman" w:eastAsia="宋体" w:cs="Times New Roman"/>
                      <w:sz w:val="21"/>
                      <w:szCs w:val="21"/>
                      <w:lang w:val="en-US" w:eastAsia="zh-CN"/>
                    </w:rPr>
                    <w:t>废气</w:t>
                  </w:r>
                  <w:r>
                    <w:rPr>
                      <w:rFonts w:hint="default" w:ascii="Times New Roman" w:hAnsi="Times New Roman" w:eastAsia="宋体" w:cs="Times New Roman"/>
                      <w:sz w:val="21"/>
                      <w:szCs w:val="21"/>
                    </w:rPr>
                    <w:t>处理等辅助设施的设备。4依据国家法律法规要求控制噪声等环境因素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2018年8月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噪声、废气达标排放</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采用在</w:t>
                  </w:r>
                  <w:r>
                    <w:rPr>
                      <w:rFonts w:hint="default" w:ascii="Times New Roman" w:hAnsi="Times New Roman" w:eastAsia="宋体" w:cs="Times New Roman"/>
                      <w:sz w:val="21"/>
                      <w:szCs w:val="21"/>
                      <w:lang w:eastAsia="zh-CN"/>
                    </w:rPr>
                    <w:t>设备上</w:t>
                  </w:r>
                  <w:r>
                    <w:rPr>
                      <w:rFonts w:hint="default" w:ascii="Times New Roman" w:hAnsi="Times New Roman" w:eastAsia="宋体" w:cs="Times New Roman"/>
                      <w:sz w:val="21"/>
                      <w:szCs w:val="21"/>
                    </w:rPr>
                    <w:t>设密闭集气罩，</w:t>
                  </w:r>
                  <w:r>
                    <w:rPr>
                      <w:rFonts w:hint="default" w:ascii="Times New Roman" w:hAnsi="Times New Roman" w:eastAsia="宋体" w:cs="Times New Roman"/>
                      <w:sz w:val="21"/>
                      <w:szCs w:val="21"/>
                      <w:lang w:eastAsia="zh-CN"/>
                    </w:rPr>
                    <w:t>等离子过滤设施，除尘吸附装置；封闭式生产设备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9500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成缆铠装机、悬臂式单绞成缆机、挤出机、高速编织机、绕包机束线机、双绞机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灭火器、集气罩、除尘器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未对无纺布供应商施加环境方面的影响。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lang w:val="en-US" w:eastAsia="zh-CN"/>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淏楷环测</w:t>
            </w:r>
            <w:r>
              <w:rPr>
                <w:rFonts w:hint="eastAsia"/>
              </w:rPr>
              <w:t>字</w:t>
            </w:r>
            <w:r>
              <w:rPr>
                <w:rFonts w:hint="eastAsia"/>
                <w:lang w:eastAsia="zh-CN"/>
              </w:rPr>
              <w:t>（</w:t>
            </w:r>
            <w:r>
              <w:rPr>
                <w:rFonts w:hint="eastAsia"/>
              </w:rPr>
              <w:t>2021</w:t>
            </w:r>
            <w:r>
              <w:rPr>
                <w:rFonts w:hint="eastAsia"/>
                <w:lang w:eastAsia="zh-CN"/>
              </w:rPr>
              <w:t>）</w:t>
            </w:r>
            <w:r>
              <w:rPr>
                <w:rFonts w:hint="eastAsia"/>
              </w:rPr>
              <w:t>第2</w:t>
            </w:r>
            <w:r>
              <w:rPr>
                <w:rFonts w:hint="eastAsia"/>
                <w:lang w:val="en-US" w:eastAsia="zh-CN"/>
              </w:rPr>
              <w:t>78</w:t>
            </w:r>
            <w:r>
              <w:rPr>
                <w:rFonts w:hint="eastAsia"/>
              </w:rPr>
              <w:t>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12"/>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通过持续改进，确保顾客始终满意是我们永恒的追求；</w:t>
            </w:r>
          </w:p>
          <w:p>
            <w:pPr>
              <w:rPr>
                <w:rFonts w:hint="eastAsia" w:ascii="Times New Roman" w:hAnsi="Times New Roman" w:cs="Times New Roman"/>
                <w:b/>
                <w:bCs/>
              </w:rPr>
            </w:pPr>
            <w:r>
              <w:rPr>
                <w:rFonts w:hint="eastAsia" w:ascii="Times New Roman" w:hAnsi="Times New Roman" w:cs="Times New Roman"/>
                <w:b/>
                <w:bCs/>
              </w:rPr>
              <w:t>预防污染，达标排放，节能降耗，建设绿色环保型企业；</w:t>
            </w:r>
          </w:p>
          <w:p>
            <w:pPr>
              <w:rPr>
                <w:rFonts w:hint="eastAsia" w:ascii="Times New Roman" w:hAnsi="Times New Roman" w:cs="Times New Roman"/>
                <w:b/>
                <w:bCs/>
                <w:lang w:val="en-US" w:eastAsia="zh-CN"/>
              </w:rPr>
            </w:pPr>
            <w:r>
              <w:rPr>
                <w:rFonts w:hint="eastAsia" w:ascii="Times New Roman" w:hAnsi="Times New Roman" w:cs="Times New Roman"/>
                <w:b/>
                <w:bCs/>
              </w:rPr>
              <w:t>安全第一，预防为主，有法可依，员工的安全</w:t>
            </w:r>
            <w:r>
              <w:rPr>
                <w:rFonts w:hint="eastAsia" w:ascii="Times New Roman" w:hAnsi="Times New Roman" w:cs="Times New Roman"/>
                <w:b/>
                <w:bCs/>
                <w:lang w:val="en-US" w:eastAsia="zh-CN"/>
              </w:rPr>
              <w:t>健康至上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郭静博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重大安全事故为0火灾事故发生率为0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生技部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9500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color w:val="000000"/>
                <w:szCs w:val="21"/>
                <w:u w:val="none"/>
                <w:lang w:eastAsia="zh-CN"/>
              </w:rPr>
              <w:t>成缆铠装机、悬臂式单绞成缆机、挤出机、高速编织机、绕包机束线机、双绞机</w:t>
            </w:r>
            <w:r>
              <w:rPr>
                <w:rFonts w:hint="eastAsia" w:ascii="楷体" w:hAnsi="楷体" w:eastAsia="楷体"/>
                <w:color w:val="000000"/>
                <w:szCs w:val="21"/>
                <w:u w:val="none"/>
              </w:rPr>
              <w:t>及辅助设施</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未对无纺布供应商施加职业健康安全方面的影响。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提供叉车检测报告，见附件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pPr>
      <w:r>
        <w:tab/>
      </w:r>
      <w:r>
        <w:tab/>
      </w:r>
      <w:r>
        <w:t>4 =不适用</w:t>
      </w:r>
    </w:p>
    <w:p>
      <w:pPr>
        <w:spacing w:before="40" w:after="40"/>
        <w:rPr>
          <w:rFonts w:eastAsia="微软雅黑"/>
        </w:rPr>
      </w:pPr>
      <w:bookmarkStart w:id="25" w:name="_GoBack"/>
      <w:bookmarkEnd w:id="25"/>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95399"/>
    <w:multiLevelType w:val="singleLevel"/>
    <w:tmpl w:val="D1195399"/>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852190"/>
    <w:rsid w:val="2BB24657"/>
    <w:rsid w:val="3FE9275F"/>
    <w:rsid w:val="768D1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文 首行缩进:  2 字符"/>
    <w:basedOn w:val="1"/>
    <w:qFormat/>
    <w:uiPriority w:val="0"/>
    <w:pPr>
      <w:ind w:firstLine="200" w:firstLineChars="200"/>
    </w:pPr>
    <w:rPr>
      <w:rFonts w:cs="宋体"/>
      <w:sz w:val="24"/>
      <w:szCs w:val="2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20018</Words>
  <Characters>21059</Characters>
  <Lines>150</Lines>
  <Paragraphs>42</Paragraphs>
  <TotalTime>3</TotalTime>
  <ScaleCrop>false</ScaleCrop>
  <LinksUpToDate>false</LinksUpToDate>
  <CharactersWithSpaces>21181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2022-03-24T05:30:12Z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