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482080" cy="9455150"/>
            <wp:effectExtent l="0" t="0" r="7620" b="6350"/>
            <wp:docPr id="3" name="图片 3" descr="新文档 2022-03-20 12.39.25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3-20 12.39.25_21"/>
                    <pic:cNvPicPr>
                      <a:picLocks noChangeAspect="1"/>
                    </pic:cNvPicPr>
                  </pic:nvPicPr>
                  <pic:blipFill>
                    <a:blip r:embed="rId5"/>
                    <a:stretch>
                      <a:fillRect/>
                    </a:stretch>
                  </pic:blipFill>
                  <pic:spPr>
                    <a:xfrm>
                      <a:off x="0" y="0"/>
                      <a:ext cx="6482080" cy="9455150"/>
                    </a:xfrm>
                    <a:prstGeom prst="rect">
                      <a:avLst/>
                    </a:prstGeom>
                  </pic:spPr>
                </pic:pic>
              </a:graphicData>
            </a:graphic>
          </wp:inline>
        </w:drawing>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762"/>
        <w:gridCol w:w="256"/>
        <w:gridCol w:w="294"/>
        <w:gridCol w:w="408"/>
        <w:gridCol w:w="272"/>
        <w:gridCol w:w="24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石家庄京华电缆有限公司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河北省石家庄市元氏县南因镇董堡村西北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河北省石家庄市元氏县南因镇董堡村西北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3" w:name="联系人"/>
            <w:r>
              <w:rPr>
                <w:sz w:val="21"/>
                <w:szCs w:val="21"/>
              </w:rPr>
              <w:t>刘增棉</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13933149615</w:t>
            </w:r>
            <w:bookmarkEnd w:id="4"/>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695547392@qq.com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6" w:name="合同编号"/>
            <w:r>
              <w:rPr>
                <w:sz w:val="20"/>
              </w:rPr>
              <w:t>0166-2022-QEO</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p>
            <w:pPr>
              <w:rPr>
                <w:rFonts w:ascii="宋体" w:hAnsi="宋体"/>
                <w:b/>
                <w:bCs/>
                <w:sz w:val="20"/>
              </w:rPr>
            </w:pPr>
            <w:bookmarkStart w:id="10" w:name="F勾选"/>
            <w:r>
              <w:rPr>
                <w:rFonts w:hint="eastAsia" w:ascii="宋体" w:hAnsi="宋体"/>
                <w:b/>
                <w:bCs/>
                <w:sz w:val="20"/>
              </w:rPr>
              <w:t>□</w:t>
            </w:r>
            <w:bookmarkEnd w:id="10"/>
            <w:r>
              <w:rPr>
                <w:rFonts w:hint="eastAsia" w:ascii="宋体" w:hAnsi="宋体"/>
                <w:b/>
                <w:bCs/>
                <w:sz w:val="20"/>
              </w:rPr>
              <w:t xml:space="preserve">FSMS </w:t>
            </w:r>
            <w:bookmarkStart w:id="11" w:name="H勾选"/>
            <w:r>
              <w:rPr>
                <w:rFonts w:hint="eastAsia" w:ascii="宋体" w:hAnsi="宋体"/>
                <w:b/>
                <w:bCs/>
                <w:sz w:val="20"/>
              </w:rPr>
              <w:t>□</w:t>
            </w:r>
            <w:bookmarkEnd w:id="11"/>
            <w:r>
              <w:rPr>
                <w:rFonts w:hint="eastAsia" w:ascii="宋体" w:hAnsi="宋体"/>
                <w:b/>
                <w:bCs/>
                <w:sz w:val="20"/>
              </w:rPr>
              <w:t xml:space="preserve">HACCP  </w:t>
            </w:r>
            <w:bookmarkStart w:id="12" w:name="EnMs勾选"/>
            <w:r>
              <w:rPr>
                <w:rFonts w:hint="eastAsia" w:ascii="宋体" w:hAnsi="宋体"/>
                <w:b/>
                <w:bCs/>
                <w:sz w:val="20"/>
              </w:rPr>
              <w:t>□</w:t>
            </w:r>
            <w:bookmarkEnd w:id="12"/>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ascii="宋体" w:hAnsi="宋体"/>
                <w:b/>
                <w:bCs/>
                <w:sz w:val="20"/>
              </w:rPr>
            </w:pPr>
            <w:bookmarkStart w:id="13" w:name="初审"/>
            <w:r>
              <w:rPr>
                <w:rFonts w:hint="eastAsia" w:ascii="宋体" w:hAnsi="宋体"/>
                <w:b/>
                <w:bCs/>
                <w:sz w:val="20"/>
              </w:rPr>
              <w:t>■</w:t>
            </w:r>
            <w:bookmarkEnd w:id="13"/>
            <w:r>
              <w:rPr>
                <w:rFonts w:hint="eastAsia" w:ascii="宋体" w:hAnsi="宋体"/>
                <w:b/>
                <w:bCs/>
                <w:sz w:val="20"/>
              </w:rPr>
              <w:t>初次认证第（二）阶段</w:t>
            </w:r>
            <w:bookmarkStart w:id="14" w:name="监督勾选"/>
            <w:r>
              <w:rPr>
                <w:rFonts w:hint="eastAsia" w:ascii="宋体" w:hAnsi="宋体"/>
                <w:b/>
                <w:bCs/>
                <w:sz w:val="20"/>
              </w:rPr>
              <w:t>□</w:t>
            </w:r>
            <w:bookmarkEnd w:id="14"/>
            <w:r>
              <w:rPr>
                <w:rFonts w:hint="eastAsia" w:ascii="宋体" w:hAnsi="宋体"/>
                <w:b/>
                <w:bCs/>
                <w:sz w:val="20"/>
              </w:rPr>
              <w:t xml:space="preserve">监督审核 </w:t>
            </w:r>
            <w:bookmarkStart w:id="15" w:name="再认证勾选"/>
            <w:r>
              <w:rPr>
                <w:rFonts w:hint="eastAsia" w:ascii="宋体" w:hAnsi="宋体"/>
                <w:b/>
                <w:bCs/>
                <w:sz w:val="20"/>
              </w:rPr>
              <w:t>□</w:t>
            </w:r>
            <w:bookmarkEnd w:id="15"/>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rPr>
            </w:pPr>
            <w:bookmarkStart w:id="16" w:name="二阶段勾选"/>
            <w:r>
              <w:rPr>
                <w:rFonts w:hint="eastAsia" w:ascii="宋体" w:hAnsi="宋体"/>
                <w:b/>
                <w:bCs/>
                <w:sz w:val="20"/>
                <w:szCs w:val="22"/>
              </w:rPr>
              <w:t>■</w:t>
            </w:r>
            <w:bookmarkEnd w:id="16"/>
            <w:r>
              <w:rPr>
                <w:rFonts w:hint="eastAsia" w:ascii="宋体" w:hAnsi="宋体"/>
                <w:b/>
                <w:bCs/>
                <w:sz w:val="20"/>
                <w:szCs w:val="22"/>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17" w:name="审核范围"/>
            <w:r>
              <w:rPr>
                <w:sz w:val="20"/>
              </w:rPr>
              <w:t>Q：资质许可范围内电线电缆的生产</w:t>
            </w:r>
          </w:p>
          <w:p>
            <w:pPr>
              <w:rPr>
                <w:sz w:val="20"/>
              </w:rPr>
            </w:pPr>
            <w:r>
              <w:rPr>
                <w:sz w:val="20"/>
              </w:rPr>
              <w:t>E：资质许可范围内电线电缆的生产所涉及场所的相关环境管理活动</w:t>
            </w:r>
          </w:p>
          <w:p>
            <w:pPr>
              <w:rPr>
                <w:sz w:val="20"/>
              </w:rPr>
            </w:pPr>
            <w:r>
              <w:rPr>
                <w:sz w:val="20"/>
              </w:rPr>
              <w:t>O：资质许可范围内电线电缆的生产所涉及场所的相关职业健康安全管理活动</w:t>
            </w:r>
            <w:bookmarkEnd w:id="17"/>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8" w:name="专业代码"/>
            <w:r>
              <w:rPr>
                <w:sz w:val="20"/>
              </w:rPr>
              <w:t>Q：19.11.02</w:t>
            </w:r>
          </w:p>
          <w:p>
            <w:pPr>
              <w:jc w:val="left"/>
              <w:rPr>
                <w:sz w:val="20"/>
              </w:rPr>
            </w:pPr>
            <w:r>
              <w:rPr>
                <w:sz w:val="20"/>
              </w:rPr>
              <w:t>E：19.11.02</w:t>
            </w:r>
          </w:p>
          <w:p>
            <w:pPr>
              <w:jc w:val="left"/>
              <w:rPr>
                <w:sz w:val="20"/>
              </w:rPr>
            </w:pPr>
            <w:r>
              <w:rPr>
                <w:sz w:val="20"/>
              </w:rPr>
              <w:t>O：19.11.02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
            <w:r>
              <w:rPr>
                <w:rFonts w:hint="eastAsia" w:ascii="宋体" w:hAnsi="宋体"/>
                <w:b/>
                <w:sz w:val="21"/>
                <w:szCs w:val="21"/>
              </w:rPr>
              <w:t>□</w:t>
            </w:r>
            <w:bookmarkEnd w:id="20"/>
            <w:r>
              <w:rPr>
                <w:rFonts w:hint="eastAsia" w:ascii="宋体" w:hAnsi="宋体"/>
                <w:b/>
                <w:sz w:val="21"/>
                <w:szCs w:val="21"/>
              </w:rPr>
              <w:t>GB/T 50430-2017</w:t>
            </w:r>
            <w:bookmarkStart w:id="21" w:name="E勾选Add1"/>
            <w:r>
              <w:rPr>
                <w:rFonts w:hint="eastAsia" w:ascii="宋体" w:hAnsi="宋体"/>
                <w:b/>
                <w:sz w:val="21"/>
                <w:szCs w:val="21"/>
              </w:rPr>
              <w:t>■</w:t>
            </w:r>
            <w:bookmarkEnd w:id="21"/>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2" w:name="S勾选"/>
            <w:r>
              <w:rPr>
                <w:rFonts w:hint="eastAsia" w:ascii="宋体" w:hAnsi="宋体"/>
                <w:b/>
                <w:sz w:val="21"/>
                <w:szCs w:val="21"/>
              </w:rPr>
              <w:t>■</w:t>
            </w:r>
            <w:bookmarkEnd w:id="22"/>
            <w:r>
              <w:rPr>
                <w:rFonts w:hint="eastAsia" w:ascii="宋体" w:hAnsi="宋体"/>
                <w:b/>
                <w:sz w:val="21"/>
                <w:szCs w:val="21"/>
              </w:rPr>
              <w:t xml:space="preserve">GB/T45001-2020/ISO45001：2020标准 </w:t>
            </w:r>
            <w:bookmarkStart w:id="23" w:name="F勾选Add1"/>
            <w:r>
              <w:rPr>
                <w:rFonts w:hint="eastAsia" w:ascii="宋体" w:hAnsi="宋体"/>
                <w:b/>
                <w:sz w:val="21"/>
                <w:szCs w:val="21"/>
              </w:rPr>
              <w:t>□</w:t>
            </w:r>
            <w:bookmarkEnd w:id="23"/>
            <w:r>
              <w:rPr>
                <w:rFonts w:hint="eastAsia" w:ascii="宋体" w:hAnsi="宋体"/>
                <w:b/>
                <w:sz w:val="21"/>
                <w:szCs w:val="21"/>
              </w:rPr>
              <w:t xml:space="preserve">ISO 22000:2018 </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4" w:name="审核日期"/>
            <w:r>
              <w:rPr>
                <w:rFonts w:hint="eastAsia"/>
                <w:b/>
                <w:sz w:val="20"/>
              </w:rPr>
              <w:t>2022年03月22日 上午至2022年03月24日 下午</w:t>
            </w:r>
            <w:bookmarkEnd w:id="24"/>
            <w:r>
              <w:rPr>
                <w:rFonts w:hint="eastAsia"/>
                <w:b/>
                <w:sz w:val="20"/>
              </w:rPr>
              <w:t>(共</w:t>
            </w:r>
            <w:bookmarkStart w:id="25" w:name="审核天数"/>
            <w:r>
              <w:rPr>
                <w:rFonts w:hint="eastAsia"/>
                <w:b/>
                <w:sz w:val="20"/>
              </w:rPr>
              <w:t>3.0</w:t>
            </w:r>
            <w:bookmarkEnd w:id="25"/>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76" w:type="dxa"/>
            <w:gridSpan w:val="5"/>
            <w:vAlign w:val="center"/>
          </w:tcPr>
          <w:p>
            <w:pPr>
              <w:jc w:val="center"/>
              <w:rPr>
                <w:sz w:val="20"/>
                <w:lang w:val="de-DE"/>
              </w:rPr>
            </w:pPr>
            <w:r>
              <w:rPr>
                <w:rFonts w:hint="eastAsia"/>
                <w:sz w:val="21"/>
                <w:szCs w:val="21"/>
              </w:rPr>
              <w:t>联系电话</w:t>
            </w:r>
          </w:p>
        </w:tc>
        <w:tc>
          <w:tcPr>
            <w:tcW w:w="1203" w:type="dxa"/>
            <w:vAlign w:val="center"/>
          </w:tcPr>
          <w:p>
            <w:pPr>
              <w:rPr>
                <w:rFonts w:hint="eastAsia" w:eastAsia="宋体"/>
                <w:sz w:val="20"/>
                <w:lang w:val="de-DE"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sz w:val="20"/>
                <w:lang w:val="de-DE"/>
              </w:rPr>
            </w:pPr>
            <w:r>
              <w:rPr>
                <w:sz w:val="20"/>
                <w:lang w:val="de-DE"/>
              </w:rPr>
              <w:t>吉洁</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sz w:val="20"/>
                <w:lang w:val="de-DE"/>
              </w:rPr>
            </w:pPr>
            <w:r>
              <w:rPr>
                <w:sz w:val="20"/>
                <w:lang w:val="de-DE"/>
              </w:rPr>
              <w:t>2020-N1OHSMS-3022240</w:t>
            </w:r>
          </w:p>
        </w:tc>
        <w:tc>
          <w:tcPr>
            <w:tcW w:w="1696" w:type="dxa"/>
            <w:gridSpan w:val="2"/>
            <w:vAlign w:val="center"/>
          </w:tcPr>
          <w:p>
            <w:pPr>
              <w:jc w:val="center"/>
              <w:rPr>
                <w:sz w:val="20"/>
                <w:lang w:val="de-DE"/>
              </w:rPr>
            </w:pPr>
            <w:r>
              <w:rPr>
                <w:sz w:val="20"/>
                <w:lang w:val="de-DE"/>
              </w:rPr>
              <w:t>Q:19.11.02</w:t>
            </w:r>
          </w:p>
          <w:p>
            <w:pPr>
              <w:jc w:val="center"/>
              <w:rPr>
                <w:sz w:val="20"/>
                <w:lang w:val="de-DE"/>
              </w:rPr>
            </w:pPr>
            <w:r>
              <w:rPr>
                <w:sz w:val="20"/>
                <w:lang w:val="de-DE"/>
              </w:rPr>
              <w:t>E:19.11.02</w:t>
            </w:r>
          </w:p>
          <w:p>
            <w:pPr>
              <w:jc w:val="center"/>
              <w:rPr>
                <w:sz w:val="20"/>
                <w:lang w:val="de-DE"/>
              </w:rPr>
            </w:pPr>
            <w:r>
              <w:rPr>
                <w:sz w:val="20"/>
                <w:lang w:val="de-DE"/>
              </w:rPr>
              <w:t>O:19.11.02</w:t>
            </w:r>
          </w:p>
        </w:tc>
        <w:tc>
          <w:tcPr>
            <w:tcW w:w="1476" w:type="dxa"/>
            <w:gridSpan w:val="5"/>
            <w:vAlign w:val="center"/>
          </w:tcPr>
          <w:p>
            <w:pPr>
              <w:jc w:val="center"/>
              <w:rPr>
                <w:sz w:val="20"/>
                <w:lang w:val="de-DE"/>
              </w:rPr>
            </w:pPr>
            <w:r>
              <w:rPr>
                <w:sz w:val="20"/>
                <w:lang w:val="de-DE"/>
              </w:rPr>
              <w:t>18633812642</w:t>
            </w:r>
          </w:p>
        </w:tc>
        <w:tc>
          <w:tcPr>
            <w:tcW w:w="1203"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杨园</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sz w:val="20"/>
                <w:lang w:val="de-DE"/>
              </w:rPr>
            </w:pPr>
            <w:r>
              <w:rPr>
                <w:sz w:val="20"/>
                <w:lang w:val="de-DE"/>
              </w:rPr>
              <w:t>2022-N1OHSMS-1215052</w:t>
            </w:r>
          </w:p>
        </w:tc>
        <w:tc>
          <w:tcPr>
            <w:tcW w:w="1696" w:type="dxa"/>
            <w:gridSpan w:val="2"/>
            <w:vAlign w:val="center"/>
          </w:tcPr>
          <w:p>
            <w:pPr>
              <w:jc w:val="center"/>
              <w:rPr>
                <w:sz w:val="20"/>
                <w:lang w:val="de-DE"/>
              </w:rPr>
            </w:pPr>
          </w:p>
        </w:tc>
        <w:tc>
          <w:tcPr>
            <w:tcW w:w="1476" w:type="dxa"/>
            <w:gridSpan w:val="5"/>
            <w:vAlign w:val="center"/>
          </w:tcPr>
          <w:p>
            <w:pPr>
              <w:jc w:val="center"/>
              <w:rPr>
                <w:sz w:val="20"/>
                <w:lang w:val="de-DE"/>
              </w:rPr>
            </w:pPr>
            <w:r>
              <w:rPr>
                <w:sz w:val="20"/>
                <w:lang w:val="de-DE"/>
              </w:rPr>
              <w:t>13223424716</w:t>
            </w:r>
          </w:p>
        </w:tc>
        <w:tc>
          <w:tcPr>
            <w:tcW w:w="1203"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rPr>
                <w:rFonts w:hint="eastAsia"/>
                <w:sz w:val="20"/>
              </w:rPr>
            </w:pPr>
            <w:r>
              <w:rPr>
                <w:rFonts w:hint="eastAsia"/>
                <w:sz w:val="20"/>
              </w:rPr>
              <w:t>审核组长</w:t>
            </w:r>
          </w:p>
          <w:p>
            <w:pPr>
              <w:tabs>
                <w:tab w:val="left" w:pos="5854"/>
              </w:tabs>
              <w:jc w:val="left"/>
              <w:rPr>
                <w:rFonts w:hint="eastAsia" w:ascii="宋体" w:hAnsi="宋体"/>
                <w:b/>
                <w:sz w:val="21"/>
                <w:szCs w:val="21"/>
              </w:rPr>
            </w:pPr>
            <w:r>
              <w:rPr>
                <w:rFonts w:hint="eastAsia"/>
                <w:sz w:val="20"/>
              </w:rPr>
              <w:t>签字</w:t>
            </w:r>
          </w:p>
        </w:tc>
        <w:tc>
          <w:tcPr>
            <w:tcW w:w="1720" w:type="dxa"/>
            <w:gridSpan w:val="2"/>
            <w:vAlign w:val="center"/>
          </w:tcPr>
          <w:p>
            <w:pPr>
              <w:tabs>
                <w:tab w:val="left" w:pos="5854"/>
              </w:tabs>
              <w:jc w:val="left"/>
              <w:rPr>
                <w:rFonts w:hint="eastAsia" w:ascii="宋体" w:hAnsi="宋体"/>
                <w:b/>
                <w:sz w:val="21"/>
                <w:szCs w:val="21"/>
              </w:rPr>
            </w:pPr>
          </w:p>
        </w:tc>
        <w:tc>
          <w:tcPr>
            <w:tcW w:w="1720" w:type="dxa"/>
            <w:gridSpan w:val="2"/>
            <w:vAlign w:val="center"/>
          </w:tcPr>
          <w:p>
            <w:pPr>
              <w:rPr>
                <w:sz w:val="20"/>
              </w:rPr>
            </w:pPr>
            <w:r>
              <w:rPr>
                <w:rFonts w:hint="eastAsia"/>
                <w:sz w:val="20"/>
              </w:rPr>
              <w:t>审核方案</w:t>
            </w:r>
          </w:p>
          <w:p>
            <w:pPr>
              <w:tabs>
                <w:tab w:val="left" w:pos="5854"/>
              </w:tabs>
              <w:jc w:val="left"/>
              <w:rPr>
                <w:rFonts w:hint="eastAsia" w:ascii="宋体" w:hAnsi="宋体"/>
                <w:b/>
                <w:sz w:val="21"/>
                <w:szCs w:val="21"/>
              </w:rPr>
            </w:pPr>
            <w:r>
              <w:rPr>
                <w:rFonts w:hint="eastAsia"/>
                <w:sz w:val="20"/>
              </w:rPr>
              <w:t>管理人员</w:t>
            </w:r>
          </w:p>
        </w:tc>
        <w:tc>
          <w:tcPr>
            <w:tcW w:w="1720" w:type="dxa"/>
            <w:gridSpan w:val="2"/>
            <w:vAlign w:val="center"/>
          </w:tcPr>
          <w:p>
            <w:pPr>
              <w:tabs>
                <w:tab w:val="left" w:pos="5854"/>
              </w:tabs>
              <w:jc w:val="left"/>
              <w:rPr>
                <w:rFonts w:hint="eastAsia" w:ascii="宋体" w:hAnsi="宋体"/>
                <w:b/>
                <w:sz w:val="21"/>
                <w:szCs w:val="21"/>
              </w:rPr>
            </w:pPr>
            <w:bookmarkStart w:id="26" w:name="审核派遣人"/>
            <w:r>
              <w:rPr>
                <w:sz w:val="21"/>
                <w:szCs w:val="21"/>
              </w:rPr>
              <w:t>李凤娟</w:t>
            </w:r>
            <w:bookmarkEnd w:id="26"/>
          </w:p>
        </w:tc>
        <w:tc>
          <w:tcPr>
            <w:tcW w:w="1720" w:type="dxa"/>
            <w:gridSpan w:val="4"/>
            <w:vAlign w:val="center"/>
          </w:tcPr>
          <w:p>
            <w:pPr>
              <w:rPr>
                <w:sz w:val="20"/>
              </w:rPr>
            </w:pPr>
            <w:r>
              <w:rPr>
                <w:rFonts w:hint="eastAsia"/>
                <w:sz w:val="20"/>
              </w:rPr>
              <w:t>受审核方</w:t>
            </w:r>
          </w:p>
          <w:p>
            <w:pPr>
              <w:tabs>
                <w:tab w:val="left" w:pos="5854"/>
              </w:tabs>
              <w:jc w:val="left"/>
              <w:rPr>
                <w:rFonts w:hint="eastAsia" w:ascii="宋体" w:hAnsi="宋体"/>
                <w:b/>
                <w:sz w:val="21"/>
                <w:szCs w:val="21"/>
              </w:rPr>
            </w:pPr>
            <w:r>
              <w:rPr>
                <w:rFonts w:hint="eastAsia"/>
                <w:sz w:val="20"/>
              </w:rPr>
              <w:t>签字及公章</w:t>
            </w:r>
          </w:p>
        </w:tc>
        <w:tc>
          <w:tcPr>
            <w:tcW w:w="1721" w:type="dxa"/>
            <w:gridSpan w:val="3"/>
            <w:vAlign w:val="center"/>
          </w:tcPr>
          <w:p>
            <w:pPr>
              <w:tabs>
                <w:tab w:val="left" w:pos="5854"/>
              </w:tabs>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sz w:val="21"/>
                <w:szCs w:val="21"/>
                <w:lang w:val="en-US" w:eastAsia="zh-CN"/>
              </w:rPr>
              <w:t>2022.3.21</w:t>
            </w:r>
          </w:p>
        </w:tc>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sz w:val="21"/>
                <w:szCs w:val="21"/>
                <w:lang w:val="en-US" w:eastAsia="zh-CN"/>
              </w:rPr>
              <w:t>2022.3.21</w:t>
            </w:r>
          </w:p>
        </w:tc>
        <w:tc>
          <w:tcPr>
            <w:tcW w:w="1720" w:type="dxa"/>
            <w:gridSpan w:val="4"/>
            <w:vAlign w:val="center"/>
          </w:tcPr>
          <w:p>
            <w:pPr>
              <w:tabs>
                <w:tab w:val="left" w:pos="5854"/>
              </w:tabs>
              <w:jc w:val="left"/>
              <w:rPr>
                <w:rFonts w:hint="eastAsia" w:ascii="宋体" w:hAnsi="宋体"/>
                <w:b/>
                <w:sz w:val="21"/>
                <w:szCs w:val="21"/>
              </w:rPr>
            </w:pPr>
            <w:r>
              <w:rPr>
                <w:rFonts w:hint="eastAsia"/>
                <w:sz w:val="20"/>
              </w:rPr>
              <w:t>日期</w:t>
            </w:r>
          </w:p>
        </w:tc>
        <w:tc>
          <w:tcPr>
            <w:tcW w:w="1721" w:type="dxa"/>
            <w:gridSpan w:val="3"/>
            <w:vAlign w:val="center"/>
          </w:tcPr>
          <w:p>
            <w:pPr>
              <w:tabs>
                <w:tab w:val="left" w:pos="5854"/>
              </w:tabs>
              <w:jc w:val="left"/>
              <w:rPr>
                <w:rFonts w:hint="eastAsia" w:ascii="宋体" w:hAnsi="宋体"/>
                <w:b/>
                <w:sz w:val="21"/>
                <w:szCs w:val="21"/>
              </w:rPr>
            </w:pPr>
            <w:r>
              <w:rPr>
                <w:rFonts w:hint="eastAsia"/>
                <w:sz w:val="21"/>
                <w:szCs w:val="21"/>
                <w:lang w:val="en-US" w:eastAsia="zh-CN"/>
              </w:rPr>
              <w:t>2022.3.21</w:t>
            </w:r>
          </w:p>
        </w:tc>
      </w:tr>
    </w:tbl>
    <w:p/>
    <w:p/>
    <w:p>
      <w:pPr>
        <w:pStyle w:val="2"/>
      </w:pPr>
    </w:p>
    <w:p>
      <w:pPr>
        <w:pStyle w:val="2"/>
      </w:pPr>
    </w:p>
    <w:tbl>
      <w:tblPr>
        <w:tblStyle w:val="6"/>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91"/>
        <w:gridCol w:w="6542"/>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13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1"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42"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2.3.22</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lang w:val="en-US" w:eastAsia="zh-CN"/>
              </w:rPr>
              <w:t>8:30</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9:00-12:00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w:t>
            </w:r>
            <w:r>
              <w:rPr>
                <w:rFonts w:hint="eastAsia" w:ascii="Times New Roman" w:hAnsi="Times New Roman" w:cs="Times New Roman"/>
                <w:sz w:val="21"/>
                <w:szCs w:val="21"/>
                <w:lang w:val="en-US" w:eastAsia="zh-CN"/>
              </w:rPr>
              <w:t>范围的确认、资质的确认、法律法规执行情况、质量抽查及顾客投诉情况、一阶段不符合验证；</w:t>
            </w:r>
            <w:bookmarkStart w:id="27" w:name="_GoBack"/>
            <w:bookmarkEnd w:id="27"/>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12:30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17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生技部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w:t>
            </w:r>
            <w:r>
              <w:rPr>
                <w:rFonts w:hint="eastAsia" w:ascii="Times New Roman" w:hAnsi="Times New Roman" w:eastAsia="宋体" w:cs="Times New Roman"/>
                <w:sz w:val="21"/>
                <w:szCs w:val="21"/>
                <w:lang w:eastAsia="zh-CN"/>
              </w:rPr>
              <w:t>过程</w:t>
            </w:r>
            <w:r>
              <w:rPr>
                <w:rFonts w:hint="default" w:ascii="Times New Roman" w:hAnsi="Times New Roman" w:eastAsia="宋体" w:cs="Times New Roman"/>
                <w:sz w:val="21"/>
                <w:szCs w:val="21"/>
              </w:rPr>
              <w:t>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w:t>
            </w:r>
            <w:r>
              <w:rPr>
                <w:rFonts w:hint="default" w:ascii="Times New Roman" w:hAnsi="Times New Roman" w:eastAsia="宋体" w:cs="Times New Roman"/>
                <w:sz w:val="21"/>
                <w:szCs w:val="21"/>
              </w:rPr>
              <w:t>和服务的控制；标识和可追溯性；产品防护；顾客或外部供方财产；变更的控制；</w:t>
            </w:r>
            <w:r>
              <w:rPr>
                <w:rFonts w:hint="eastAsia" w:ascii="Times New Roman" w:hAnsi="Times New Roman" w:cs="Times New Roman"/>
                <w:sz w:val="21"/>
                <w:szCs w:val="21"/>
                <w:lang w:val="en-US" w:eastAsia="zh-CN"/>
              </w:rPr>
              <w:t>产品和服务的放行；不合格输出的控制；</w:t>
            </w:r>
            <w:r>
              <w:rPr>
                <w:rFonts w:hint="default" w:ascii="Times New Roman" w:hAnsi="Times New Roman" w:eastAsia="宋体" w:cs="Times New Roman"/>
                <w:sz w:val="21"/>
                <w:szCs w:val="21"/>
              </w:rPr>
              <w:t>运行控制；应急准备和响应</w:t>
            </w:r>
            <w:r>
              <w:rPr>
                <w:rFonts w:hint="eastAsia" w:ascii="Times New Roman" w:hAnsi="Times New Roman" w:eastAsia="宋体" w:cs="Times New Roman"/>
                <w:sz w:val="21"/>
                <w:szCs w:val="21"/>
                <w:lang w:val="en-US" w:eastAsia="zh-CN"/>
              </w:rPr>
              <w:t>,合规性评价；</w:t>
            </w:r>
          </w:p>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8.5</w:t>
            </w:r>
            <w:r>
              <w:rPr>
                <w:rFonts w:hint="eastAsia" w:ascii="Times New Roman" w:hAnsi="Times New Roman" w:eastAsia="宋体" w:cs="Times New Roman"/>
                <w:sz w:val="21"/>
                <w:szCs w:val="21"/>
                <w:lang w:val="en-US" w:eastAsia="zh-CN"/>
              </w:rPr>
              <w:t>.1/8.5.2/8.5.3/8.5.4/8.5.6</w:t>
            </w:r>
            <w:r>
              <w:rPr>
                <w:rFonts w:hint="default" w:ascii="Times New Roman" w:hAnsi="Times New Roman" w:eastAsia="宋体" w:cs="Times New Roman"/>
                <w:sz w:val="21"/>
                <w:szCs w:val="21"/>
                <w:lang w:val="en-US" w:eastAsia="zh-CN"/>
              </w:rPr>
              <w:t>/8.6/8.7</w:t>
            </w:r>
            <w:r>
              <w:rPr>
                <w:rFonts w:hint="eastAsia" w:ascii="Times New Roman" w:hAnsi="Times New Roman" w:cs="Times New Roman"/>
                <w:sz w:val="21"/>
                <w:szCs w:val="21"/>
                <w:lang w:val="en-US" w:eastAsia="zh-CN"/>
              </w:rPr>
              <w:t>/9.1.3</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w:t>
            </w:r>
            <w:r>
              <w:rPr>
                <w:rFonts w:hint="eastAsia" w:ascii="Times New Roman" w:hAnsi="Times New Roman" w:eastAsia="宋体" w:cs="Times New Roman"/>
                <w:sz w:val="21"/>
                <w:szCs w:val="21"/>
                <w:lang w:val="en-US" w:eastAsia="zh-CN"/>
              </w:rPr>
              <w:t>/6.1.3/6.1.4/</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r>
              <w:rPr>
                <w:rFonts w:hint="eastAsia" w:ascii="Times New Roman" w:hAnsi="Times New Roman" w:eastAsia="宋体" w:cs="Times New Roman"/>
                <w:sz w:val="21"/>
                <w:szCs w:val="21"/>
                <w:lang w:val="en-US" w:eastAsia="zh-CN"/>
              </w:rPr>
              <w:t>/9.1.2</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9:00-17:00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办公室</w:t>
            </w:r>
            <w:r>
              <w:rPr>
                <w:rFonts w:hint="default" w:ascii="Times New Roman" w:hAnsi="Times New Roman" w:eastAsia="宋体" w:cs="Times New Roman"/>
                <w:sz w:val="21"/>
                <w:szCs w:val="21"/>
              </w:rPr>
              <w:t>：组织的岗位、职责权限；目标、方案；环境因素/危险源识别评价；合规义务；法律法规要求；人员、组织知识；能力；意识；沟通；能力、培训和意识；文件化信息；信息交流、沟通参与和协商；产品和服务要求；外部提供的过程、产品和服务的控制；交付后</w:t>
            </w:r>
            <w:r>
              <w:rPr>
                <w:rFonts w:hint="eastAsia" w:ascii="Times New Roman" w:hAnsi="Times New Roman" w:eastAsia="宋体" w:cs="Times New Roman"/>
                <w:sz w:val="21"/>
                <w:szCs w:val="21"/>
                <w:lang w:eastAsia="zh-CN"/>
              </w:rPr>
              <w:t>的</w:t>
            </w:r>
            <w:r>
              <w:rPr>
                <w:rFonts w:hint="default" w:ascii="Times New Roman" w:hAnsi="Times New Roman" w:eastAsia="宋体" w:cs="Times New Roman"/>
                <w:sz w:val="21"/>
                <w:szCs w:val="21"/>
              </w:rPr>
              <w:t>活动；</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绩效的监视和测量；合规性评价</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内部审核；事件、不合格及纠正和预防措施控制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/8.2/8.4/8.5.5/9.1.1/9.1.2/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w:t>
            </w:r>
            <w:r>
              <w:rPr>
                <w:rFonts w:hint="default" w:ascii="Times New Roman" w:hAnsi="Times New Roman" w:eastAsia="宋体" w:cs="Times New Roman"/>
                <w:sz w:val="21"/>
                <w:szCs w:val="21"/>
              </w:rPr>
              <w:t>7.2/7.3/7.4/7.5/8.1/8.2</w:t>
            </w:r>
            <w:r>
              <w:rPr>
                <w:rFonts w:hint="eastAsia" w:ascii="Times New Roman" w:hAnsi="Times New Roman" w:eastAsia="宋体" w:cs="Times New Roman"/>
                <w:sz w:val="21"/>
                <w:szCs w:val="21"/>
                <w:lang w:val="en-US" w:eastAsia="zh-CN"/>
              </w:rPr>
              <w:t>/9.1.1/</w:t>
            </w:r>
            <w:r>
              <w:rPr>
                <w:rFonts w:hint="default" w:ascii="Times New Roman" w:hAnsi="Times New Roman" w:eastAsia="宋体" w:cs="Times New Roman"/>
                <w:sz w:val="21"/>
                <w:szCs w:val="21"/>
              </w:rPr>
              <w:t>9.2/10.2</w:t>
            </w:r>
            <w:r>
              <w:rPr>
                <w:rFonts w:hint="eastAsia" w:cs="Times New Roman"/>
                <w:sz w:val="21"/>
                <w:szCs w:val="21"/>
                <w:lang w:eastAsia="zh-CN"/>
              </w:rPr>
              <w:t>；</w:t>
            </w:r>
            <w:r>
              <w:rPr>
                <w:rFonts w:hint="eastAsia" w:cs="Times New Roman"/>
                <w:sz w:val="21"/>
                <w:szCs w:val="21"/>
                <w:lang w:val="en-US" w:eastAsia="zh-CN"/>
              </w:rPr>
              <w:t>O5.4</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2022.3.23</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继续审核办公室</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继续审核生技部</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2022.3.24</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继续审核生技部</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170"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eastAsia" w:ascii="Times New Roman" w:hAnsi="Times New Roman" w:cs="Times New Roman"/>
                <w:b w:val="0"/>
                <w:bCs/>
                <w:sz w:val="21"/>
                <w:szCs w:val="21"/>
                <w:lang w:val="en-US" w:eastAsia="zh-CN"/>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继续审核办公室</w:t>
            </w:r>
          </w:p>
        </w:tc>
        <w:tc>
          <w:tcPr>
            <w:tcW w:w="113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170" w:type="dxa"/>
            <w:vAlign w:val="center"/>
          </w:tcPr>
          <w:p>
            <w:pPr>
              <w:keepNext w:val="0"/>
              <w:keepLines w:val="0"/>
              <w:pageBreakBefore w:val="0"/>
              <w:widowControl w:val="0"/>
              <w:kinsoku/>
              <w:wordWrap/>
              <w:overflowPunct/>
              <w:topLinePunct w:val="0"/>
              <w:autoSpaceDE/>
              <w:autoSpaceDN/>
              <w:bidi w:val="0"/>
              <w:snapToGrid w:val="0"/>
              <w:spacing w:line="300" w:lineRule="exact"/>
              <w:jc w:val="both"/>
              <w:textAlignment w:val="auto"/>
              <w:rPr>
                <w:rFonts w:hint="default" w:ascii="Times New Roman" w:hAnsi="Times New Roman" w:eastAsia="宋体" w:cs="Times New Roman"/>
                <w:b w:val="0"/>
                <w:bCs/>
                <w:sz w:val="21"/>
                <w:szCs w:val="21"/>
                <w:lang w:val="en-US"/>
              </w:rPr>
            </w:pP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1</w:t>
            </w:r>
            <w:r>
              <w:rPr>
                <w:rFonts w:hint="eastAsia"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136" w:type="dxa"/>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70" w:type="dxa"/>
          </w:tcPr>
          <w:p>
            <w:pPr>
              <w:keepNext w:val="0"/>
              <w:keepLines w:val="0"/>
              <w:pageBreakBefore w:val="0"/>
              <w:widowControl w:val="0"/>
              <w:kinsoku/>
              <w:wordWrap/>
              <w:overflowPunct/>
              <w:topLinePunct w:val="0"/>
              <w:autoSpaceDE/>
              <w:autoSpaceDN/>
              <w:bidi w:val="0"/>
              <w:snapToGrid w:val="0"/>
              <w:spacing w:line="3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注</w:t>
            </w:r>
          </w:p>
        </w:tc>
        <w:tc>
          <w:tcPr>
            <w:tcW w:w="1291"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午休时间</w:t>
            </w:r>
          </w:p>
        </w:tc>
        <w:tc>
          <w:tcPr>
            <w:tcW w:w="1136" w:type="dxa"/>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default" w:ascii="Times New Roman" w:hAnsi="Times New Roman" w:eastAsia="宋体" w:cs="Times New Roman"/>
                <w:b w:val="0"/>
                <w:bCs/>
                <w:sz w:val="21"/>
                <w:szCs w:val="21"/>
              </w:rPr>
            </w:pP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5160645</wp:posOffset>
              </wp:positionH>
              <wp:positionV relativeFrom="paragraph">
                <wp:posOffset>118110</wp:posOffset>
              </wp:positionV>
              <wp:extent cx="1497965" cy="256540"/>
              <wp:effectExtent l="0" t="0" r="6985" b="10160"/>
              <wp:wrapNone/>
              <wp:docPr id="1" name="文本框 1"/>
              <wp:cNvGraphicFramePr/>
              <a:graphic xmlns:a="http://schemas.openxmlformats.org/drawingml/2006/main">
                <a:graphicData uri="http://schemas.microsoft.com/office/word/2010/wordprocessingShape">
                  <wps:wsp>
                    <wps:cNvSpPr txBox="1"/>
                    <wps:spPr>
                      <a:xfrm>
                        <a:off x="0" y="0"/>
                        <a:ext cx="1497965" cy="256540"/>
                      </a:xfrm>
                      <a:prstGeom prst="rect">
                        <a:avLst/>
                      </a:prstGeom>
                      <a:solidFill>
                        <a:srgbClr val="FFFFFF"/>
                      </a:solidFill>
                      <a:ln>
                        <a:noFill/>
                      </a:ln>
                    </wps:spPr>
                    <wps:txbx>
                      <w:txbxContent>
                        <w:p>
                          <w:pPr>
                            <w:rPr>
                              <w:sz w:val="18"/>
                              <w:szCs w:val="18"/>
                            </w:rPr>
                          </w:pPr>
                          <w:r>
                            <w:rPr>
                              <w:rFonts w:hint="eastAsia"/>
                              <w:sz w:val="18"/>
                              <w:szCs w:val="18"/>
                            </w:rPr>
                            <w:t>ISC-B-II-04(05版）</w:t>
                          </w:r>
                        </w:p>
                      </w:txbxContent>
                    </wps:txbx>
                    <wps:bodyPr upright="1"/>
                  </wps:wsp>
                </a:graphicData>
              </a:graphic>
            </wp:anchor>
          </w:drawing>
        </mc:Choice>
        <mc:Fallback>
          <w:pict>
            <v:shape id="_x0000_s1026" o:spid="_x0000_s1026" o:spt="202" type="#_x0000_t202" style="position:absolute;left:0pt;margin-left:406.35pt;margin-top:9.3pt;height:20.2pt;width:117.95pt;z-index:251659264;mso-width-relative:page;mso-height-relative:page;" fillcolor="#FFFFFF" filled="t" stroked="f" coordsize="21600,21600" o:gfxdata="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oEJorXAAAACgEAAA8AAAAAAAAAAQAgAAAAIgAAAGRycy9kb3ducmV2Lnht&#10;bFBLAQIUABQAAAAIAIdO4kB5PnNxwQEAAHcDAAAOAAAAAAAAAAEAIAAAACYBAABkcnMvZTJvRG9j&#10;LnhtbFBLBQYAAAAABgAGAFkBAABZBQAAAAA=&#10;">
              <v:fill on="t" focussize="0,0"/>
              <v:stroke on="f"/>
              <v:imagedata o:title=""/>
              <o:lock v:ext="edit" aspectratio="f"/>
              <v:textbox>
                <w:txbxContent>
                  <w:p>
                    <w:pPr>
                      <w:rPr>
                        <w:sz w:val="18"/>
                        <w:szCs w:val="18"/>
                      </w:rPr>
                    </w:pPr>
                    <w:r>
                      <w:rPr>
                        <w:rFonts w:hint="eastAsia"/>
                        <w:sz w:val="18"/>
                        <w:szCs w:val="18"/>
                      </w:rPr>
                      <w:t>ISC-B-II-04(05版）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E3527"/>
    <w:rsid w:val="20F518C4"/>
    <w:rsid w:val="3B516729"/>
    <w:rsid w:val="430E62A6"/>
    <w:rsid w:val="59CF1242"/>
    <w:rsid w:val="61773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1380</Words>
  <Characters>2333</Characters>
  <Lines>37</Lines>
  <Paragraphs>10</Paragraphs>
  <TotalTime>1</TotalTime>
  <ScaleCrop>false</ScaleCrop>
  <LinksUpToDate>false</LinksUpToDate>
  <CharactersWithSpaces>2366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2022-03-24T06:46:50Z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AEADEE5BD43A40028D8770164674F27A</vt:lpwstr>
  </property>
  <property fmtid="{D5CDD505-2E9C-101B-9397-08002B2CF9AE}" pid="3" name="KSOProductBuildVer">
    <vt:lpwstr>2052-11.1.0.11365</vt:lpwstr>
  </property>
</Properties>
</file>