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0149-2022-Q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石家庄宏达石探锻造有限公司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石家庄宏达石探锻造有限公司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石家庄市栾城区小孙村</w:t>
            </w:r>
            <w:bookmarkEnd w:id="6"/>
          </w:p>
        </w:tc>
        <w:tc>
          <w:tcPr>
            <w:tcW w:w="1242" w:type="dxa"/>
            <w:vMerge w:val="restart"/>
            <w:vAlign w:val="center"/>
          </w:tcPr>
          <w:p>
            <w:r>
              <w:rPr>
                <w:rFonts w:hint="eastAsia"/>
              </w:rPr>
              <w:t>邮编</w:t>
            </w:r>
          </w:p>
        </w:tc>
        <w:tc>
          <w:tcPr>
            <w:tcW w:w="1771" w:type="dxa"/>
          </w:tcPr>
          <w:p>
            <w:bookmarkStart w:id="7" w:name="注册邮编"/>
            <w:r>
              <w:t>051430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石家庄市栾城区小孙村</w:t>
            </w:r>
            <w:bookmarkEnd w:id="8"/>
          </w:p>
        </w:tc>
        <w:tc>
          <w:tcPr>
            <w:tcW w:w="1242" w:type="dxa"/>
            <w:vMerge w:val="continue"/>
            <w:vAlign w:val="center"/>
          </w:tcPr>
          <w:p/>
        </w:tc>
        <w:tc>
          <w:tcPr>
            <w:tcW w:w="1771" w:type="dxa"/>
          </w:tcPr>
          <w:p>
            <w:bookmarkStart w:id="9" w:name="办公邮编"/>
            <w:r>
              <w:t>051430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王志亮</w:t>
            </w:r>
            <w:bookmarkEnd w:id="10"/>
          </w:p>
        </w:tc>
        <w:tc>
          <w:tcPr>
            <w:tcW w:w="1313" w:type="dxa"/>
            <w:vAlign w:val="center"/>
          </w:tcPr>
          <w:p>
            <w:r>
              <w:rPr>
                <w:rFonts w:hint="eastAsia"/>
              </w:rPr>
              <w:t>电话.</w:t>
            </w:r>
          </w:p>
        </w:tc>
        <w:tc>
          <w:tcPr>
            <w:tcW w:w="2180" w:type="dxa"/>
            <w:vAlign w:val="center"/>
          </w:tcPr>
          <w:p>
            <w:bookmarkStart w:id="11" w:name="联系人电话"/>
            <w:r>
              <w:t>15830669666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王志亮</w:t>
            </w:r>
            <w:bookmarkEnd w:id="13"/>
          </w:p>
        </w:tc>
        <w:tc>
          <w:tcPr>
            <w:tcW w:w="1313" w:type="dxa"/>
            <w:vAlign w:val="center"/>
          </w:tcPr>
          <w:p>
            <w:r>
              <w:rPr>
                <w:rFonts w:hint="eastAsia"/>
              </w:rPr>
              <w:t>管理者代表</w:t>
            </w:r>
          </w:p>
        </w:tc>
        <w:tc>
          <w:tcPr>
            <w:tcW w:w="2180" w:type="dxa"/>
          </w:tcPr>
          <w:p>
            <w:bookmarkStart w:id="14" w:name="管理者代表"/>
            <w:r>
              <w:t>王志亮</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rPr>
              <w:sym w:font="Wingdings 2" w:char="0052"/>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楷体" w:hAnsi="楷体" w:eastAsia="楷体"/>
                <w:szCs w:val="21"/>
              </w:rPr>
              <w:t>原材料—切割—加热—热锻—正火—车床加工—热处理—（车床加工）—成品</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2022年03月13日 上午至2022年03月14日 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rFonts w:hint="eastAsia" w:eastAsia="宋体"/>
                <w:lang w:val="de-DE" w:eastAsia="zh-CN"/>
              </w:rPr>
            </w:pPr>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7" w:name="二阶段勾选"/>
            <w:r>
              <w:rPr>
                <w:rFonts w:hint="eastAsia"/>
              </w:rPr>
              <w:t>□</w:t>
            </w:r>
            <w:bookmarkEnd w:id="17"/>
            <w:r>
              <w:rPr>
                <w:rFonts w:hint="eastAsia"/>
              </w:rPr>
              <w:t xml:space="preserve">初审二阶段  </w:t>
            </w:r>
            <w:bookmarkStart w:id="18" w:name="监督勾选Add1"/>
            <w:r>
              <w:rPr>
                <w:rFonts w:hint="eastAsia"/>
              </w:rPr>
              <w:t>■</w:t>
            </w:r>
            <w:bookmarkEnd w:id="18"/>
            <w:r>
              <w:rPr>
                <w:rFonts w:hint="eastAsia"/>
              </w:rPr>
              <w:t xml:space="preserve">监督 第 </w:t>
            </w:r>
            <w:bookmarkStart w:id="19" w:name="监督次数"/>
            <w:r>
              <w:rPr>
                <w:rFonts w:hint="eastAsia"/>
              </w:rPr>
              <w:t>二</w:t>
            </w:r>
            <w:bookmarkEnd w:id="19"/>
            <w:r>
              <w:rPr>
                <w:rFonts w:hint="eastAsia"/>
              </w:rPr>
              <w:t xml:space="preserve"> 次监督审核  </w:t>
            </w:r>
            <w:bookmarkStart w:id="20" w:name="再认证勾选"/>
            <w:r>
              <w:rPr>
                <w:rFonts w:hint="eastAsia"/>
              </w:rPr>
              <w:t>□</w:t>
            </w:r>
            <w:bookmarkEnd w:id="20"/>
            <w:r>
              <w:rPr>
                <w:rFonts w:hint="eastAsia"/>
              </w:rPr>
              <w:t xml:space="preserve">再认证 </w:t>
            </w:r>
            <w:bookmarkStart w:id="21" w:name="扩项勾选Add1"/>
            <w:r>
              <w:rPr>
                <w:rFonts w:hint="eastAsia"/>
              </w:rPr>
              <w:t>□</w:t>
            </w:r>
            <w:bookmarkEnd w:id="21"/>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2" w:name="审核范围"/>
            <w:r>
              <w:rPr>
                <w:rFonts w:hint="eastAsia"/>
              </w:rPr>
              <w:t>锻造锁接头、车床（机加工件）加工</w:t>
            </w:r>
            <w:bookmarkEnd w:id="22"/>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3" w:name="专业代码"/>
            <w:r>
              <w:t>17.09.00;17.10.02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r>
              <w:rPr>
                <w:rFonts w:ascii="楷体" w:hAnsi="楷体" w:eastAsia="楷体"/>
                <w:szCs w:val="21"/>
              </w:rPr>
              <w:t>经现场确认，产品依据国家标准、行业标准、客户要求</w:t>
            </w:r>
            <w:r>
              <w:rPr>
                <w:rFonts w:hint="eastAsia" w:ascii="楷体" w:hAnsi="楷体" w:eastAsia="楷体"/>
                <w:szCs w:val="21"/>
              </w:rPr>
              <w:t>生产</w:t>
            </w:r>
            <w:r>
              <w:rPr>
                <w:rFonts w:ascii="楷体" w:hAnsi="楷体" w:eastAsia="楷体"/>
                <w:szCs w:val="21"/>
              </w:rPr>
              <w:t>，目前工艺流程简单成熟，无设计开发要求，故不适用8.3条款，不影响组织确保其产品和服务合格的能力或责任，对增强顾客满意也不会产生影响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 xml:space="preserve">受审核组织没有设计开发的责任    </w:t>
            </w:r>
          </w:p>
          <w:p>
            <w:r>
              <w:rPr>
                <w:rFonts w:hint="eastAsia"/>
              </w:rPr>
              <w:sym w:font="Wingdings 2" w:char="0052"/>
            </w:r>
            <w:r>
              <w:rPr>
                <w:rFonts w:hint="eastAsia"/>
              </w:rPr>
              <w:t xml:space="preserve">受审核组织没有设计开发的能力   </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2018</w:t>
            </w:r>
            <w:r>
              <w:rPr>
                <w:rFonts w:hint="eastAsia"/>
              </w:rPr>
              <w:t xml:space="preserve">年  </w:t>
            </w:r>
            <w:r>
              <w:rPr>
                <w:rFonts w:hint="eastAsia"/>
                <w:lang w:val="en-US" w:eastAsia="zh-CN"/>
              </w:rPr>
              <w:t>9</w:t>
            </w:r>
            <w:r>
              <w:rPr>
                <w:rFonts w:hint="eastAsia"/>
              </w:rPr>
              <w:t xml:space="preserve">  月  </w:t>
            </w:r>
            <w:r>
              <w:rPr>
                <w:rFonts w:hint="eastAsia"/>
                <w:lang w:val="en-US" w:eastAsia="zh-CN"/>
              </w:rPr>
              <w:t>1</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2021</w:t>
            </w:r>
            <w:r>
              <w:rPr>
                <w:rFonts w:hint="eastAsia"/>
              </w:rPr>
              <w:t xml:space="preserve">年 </w:t>
            </w:r>
            <w:r>
              <w:rPr>
                <w:rFonts w:hint="eastAsia"/>
                <w:lang w:val="en-US" w:eastAsia="zh-CN"/>
              </w:rPr>
              <w:t>8</w:t>
            </w:r>
            <w:r>
              <w:rPr>
                <w:rFonts w:hint="eastAsia"/>
              </w:rPr>
              <w:t xml:space="preserve">月  </w:t>
            </w:r>
            <w:r>
              <w:rPr>
                <w:rFonts w:hint="eastAsia"/>
                <w:lang w:val="en-US" w:eastAsia="zh-CN"/>
              </w:rPr>
              <w:t>15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2022</w:t>
            </w:r>
            <w:r>
              <w:rPr>
                <w:rFonts w:hint="eastAsia"/>
              </w:rPr>
              <w:t xml:space="preserve"> 年</w:t>
            </w:r>
            <w:r>
              <w:rPr>
                <w:rFonts w:hint="eastAsia"/>
                <w:lang w:val="en-US" w:eastAsia="zh-CN"/>
              </w:rPr>
              <w:t>4</w:t>
            </w:r>
            <w:r>
              <w:rPr>
                <w:rFonts w:hint="eastAsia"/>
              </w:rPr>
              <w:t xml:space="preserve"> 月     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59"/>
        <w:gridCol w:w="710"/>
        <w:gridCol w:w="880"/>
        <w:gridCol w:w="32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459" w:type="dxa"/>
            <w:shd w:val="clear" w:color="auto" w:fill="F3F3F3"/>
          </w:tcPr>
          <w:p>
            <w:r>
              <w:rPr>
                <w:rFonts w:hint="eastAsia"/>
              </w:rPr>
              <w:t>经营场所的地址</w:t>
            </w:r>
          </w:p>
          <w:p>
            <w:r>
              <w:rPr>
                <w:rFonts w:hint="eastAsia"/>
              </w:rPr>
              <w:t>（多现场和临时现场）</w:t>
            </w:r>
          </w:p>
        </w:tc>
        <w:tc>
          <w:tcPr>
            <w:tcW w:w="710" w:type="dxa"/>
            <w:shd w:val="clear" w:color="auto" w:fill="F3F3F3"/>
            <w:tcMar>
              <w:left w:w="57" w:type="dxa"/>
              <w:right w:w="57" w:type="dxa"/>
            </w:tcMar>
          </w:tcPr>
          <w:p>
            <w:r>
              <w:rPr>
                <w:rFonts w:hint="eastAsia"/>
              </w:rPr>
              <w:t>员工人数</w:t>
            </w:r>
          </w:p>
        </w:tc>
        <w:tc>
          <w:tcPr>
            <w:tcW w:w="880" w:type="dxa"/>
            <w:shd w:val="clear" w:color="auto" w:fill="F3F3F3"/>
            <w:tcMar>
              <w:left w:w="57" w:type="dxa"/>
              <w:right w:w="57" w:type="dxa"/>
            </w:tcMar>
          </w:tcPr>
          <w:p>
            <w:r>
              <w:rPr>
                <w:rFonts w:hint="eastAsia"/>
              </w:rPr>
              <w:t>审核范围（产品和过程）</w:t>
            </w:r>
          </w:p>
          <w:p/>
          <w:p/>
        </w:tc>
        <w:tc>
          <w:tcPr>
            <w:tcW w:w="326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ascii="楷体" w:hAnsi="楷体" w:eastAsia="楷体"/>
                <w:szCs w:val="21"/>
              </w:rPr>
            </w:pPr>
            <w:r>
              <w:rPr>
                <w:rFonts w:hint="eastAsia" w:ascii="楷体" w:hAnsi="楷体" w:eastAsia="楷体"/>
                <w:szCs w:val="21"/>
              </w:rPr>
              <w:t>石家庄宏达石探锻造有限公司</w:t>
            </w:r>
          </w:p>
          <w:p>
            <w:pPr>
              <w:rPr>
                <w:lang w:val="de-DE" w:eastAsia="ja-JP"/>
              </w:rPr>
            </w:pPr>
            <w:r>
              <w:rPr>
                <w:rFonts w:hint="eastAsia" w:ascii="楷体" w:hAnsi="楷体" w:eastAsia="楷体"/>
                <w:szCs w:val="21"/>
              </w:rPr>
              <w:t>石家庄栾城区小孙村</w:t>
            </w:r>
          </w:p>
        </w:tc>
        <w:tc>
          <w:tcPr>
            <w:tcW w:w="1459" w:type="dxa"/>
          </w:tcPr>
          <w:p>
            <w:pPr>
              <w:rPr>
                <w:lang w:val="de-DE" w:eastAsia="ja-JP"/>
              </w:rPr>
            </w:pPr>
            <w:r>
              <w:rPr>
                <w:rFonts w:hint="eastAsia" w:ascii="楷体" w:hAnsi="楷体" w:eastAsia="楷体"/>
                <w:szCs w:val="21"/>
              </w:rPr>
              <w:t>石家庄栾城区小孙村</w:t>
            </w:r>
          </w:p>
        </w:tc>
        <w:tc>
          <w:tcPr>
            <w:tcW w:w="710" w:type="dxa"/>
            <w:vAlign w:val="center"/>
          </w:tcPr>
          <w:p>
            <w:pPr>
              <w:rPr>
                <w:rFonts w:hint="default" w:eastAsia="宋体"/>
                <w:lang w:val="en-US" w:eastAsia="zh-CN"/>
              </w:rPr>
            </w:pPr>
            <w:r>
              <w:rPr>
                <w:rFonts w:hint="eastAsia"/>
                <w:lang w:val="en-US" w:eastAsia="zh-CN"/>
              </w:rPr>
              <w:t>15</w:t>
            </w:r>
          </w:p>
        </w:tc>
        <w:tc>
          <w:tcPr>
            <w:tcW w:w="880" w:type="dxa"/>
            <w:vAlign w:val="center"/>
          </w:tcPr>
          <w:p>
            <w:pPr>
              <w:rPr>
                <w:lang w:eastAsia="ja-JP"/>
              </w:rPr>
            </w:pPr>
            <w:r>
              <w:rPr>
                <w:rFonts w:hint="eastAsia" w:ascii="楷体" w:hAnsi="楷体" w:eastAsia="楷体"/>
                <w:szCs w:val="21"/>
              </w:rPr>
              <w:t>锻造锁接头、车床（机加工件）加工</w:t>
            </w:r>
          </w:p>
        </w:tc>
        <w:tc>
          <w:tcPr>
            <w:tcW w:w="3261" w:type="dxa"/>
            <w:vAlign w:val="center"/>
          </w:tcPr>
          <w:p>
            <w:pPr>
              <w:rPr>
                <w:rFonts w:hint="default" w:eastAsia="宋体"/>
                <w:lang w:val="en-US" w:eastAsia="zh-CN"/>
              </w:rPr>
            </w:pPr>
            <w:r>
              <w:rPr>
                <w:rFonts w:hint="eastAsia"/>
                <w:lang w:val="en-US" w:eastAsia="zh-CN"/>
              </w:rPr>
              <w:t>客户图纸、技术要求，加工过程参考</w:t>
            </w:r>
            <w:r>
              <w:rPr>
                <w:rFonts w:hint="eastAsia" w:ascii="楷体" w:hAnsi="楷体" w:eastAsia="楷体" w:cs="楷体"/>
                <w:sz w:val="21"/>
                <w:szCs w:val="21"/>
              </w:rPr>
              <w:t>一般公差未注公差的线性和角度尺寸的公差GB/T1804-2000、形状和位置公未注公差值GB/T 1184-1996、</w:t>
            </w:r>
            <w:r>
              <w:rPr>
                <w:rFonts w:hint="eastAsia" w:ascii="楷体" w:hAnsi="楷体" w:eastAsia="楷体" w:cs="楷体"/>
                <w:color w:val="000000"/>
                <w:sz w:val="21"/>
                <w:szCs w:val="21"/>
              </w:rPr>
              <w:t>形状和位置公差GB/T 1958-2017</w:t>
            </w:r>
          </w:p>
        </w:tc>
        <w:tc>
          <w:tcPr>
            <w:tcW w:w="668" w:type="dxa"/>
            <w:shd w:val="clear" w:color="auto" w:fill="FFFFFF"/>
          </w:tcPr>
          <w:p>
            <w:r>
              <w:rPr>
                <w:rFonts w:hint="default" w:ascii="Segoe UI Symbol" w:hAnsi="Segoe UI Symbol" w:cs="Segoe UI Symbo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459" w:type="dxa"/>
            <w:vAlign w:val="center"/>
          </w:tcPr>
          <w:p>
            <w:pPr>
              <w:rPr>
                <w:lang w:eastAsia="ja-JP"/>
              </w:rPr>
            </w:pPr>
          </w:p>
        </w:tc>
        <w:tc>
          <w:tcPr>
            <w:tcW w:w="710" w:type="dxa"/>
            <w:vAlign w:val="center"/>
          </w:tcPr>
          <w:p>
            <w:pPr>
              <w:rPr>
                <w:lang w:eastAsia="ja-JP"/>
              </w:rPr>
            </w:pPr>
          </w:p>
        </w:tc>
        <w:tc>
          <w:tcPr>
            <w:tcW w:w="880" w:type="dxa"/>
            <w:vAlign w:val="center"/>
          </w:tcPr>
          <w:p>
            <w:pPr>
              <w:rPr>
                <w:lang w:eastAsia="ja-JP"/>
              </w:rPr>
            </w:pPr>
          </w:p>
        </w:tc>
        <w:tc>
          <w:tcPr>
            <w:tcW w:w="326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459" w:type="dxa"/>
            <w:vAlign w:val="center"/>
          </w:tcPr>
          <w:p>
            <w:pPr>
              <w:rPr>
                <w:lang w:eastAsia="ja-JP"/>
              </w:rPr>
            </w:pPr>
          </w:p>
        </w:tc>
        <w:tc>
          <w:tcPr>
            <w:tcW w:w="710" w:type="dxa"/>
            <w:vAlign w:val="center"/>
          </w:tcPr>
          <w:p>
            <w:pPr>
              <w:rPr>
                <w:lang w:eastAsia="ja-JP"/>
              </w:rPr>
            </w:pPr>
          </w:p>
        </w:tc>
        <w:tc>
          <w:tcPr>
            <w:tcW w:w="880" w:type="dxa"/>
            <w:vAlign w:val="center"/>
          </w:tcPr>
          <w:p>
            <w:pPr>
              <w:rPr>
                <w:lang w:eastAsia="ja-JP"/>
              </w:rPr>
            </w:pPr>
          </w:p>
        </w:tc>
        <w:tc>
          <w:tcPr>
            <w:tcW w:w="326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459" w:type="dxa"/>
            <w:vAlign w:val="center"/>
          </w:tcPr>
          <w:p>
            <w:pPr>
              <w:rPr>
                <w:lang w:eastAsia="ja-JP"/>
              </w:rPr>
            </w:pPr>
          </w:p>
        </w:tc>
        <w:tc>
          <w:tcPr>
            <w:tcW w:w="710" w:type="dxa"/>
            <w:vAlign w:val="center"/>
          </w:tcPr>
          <w:p>
            <w:pPr>
              <w:rPr>
                <w:lang w:eastAsia="ja-JP"/>
              </w:rPr>
            </w:pPr>
          </w:p>
        </w:tc>
        <w:tc>
          <w:tcPr>
            <w:tcW w:w="880" w:type="dxa"/>
            <w:vAlign w:val="center"/>
          </w:tcPr>
          <w:p>
            <w:pPr>
              <w:rPr>
                <w:lang w:eastAsia="ja-JP"/>
              </w:rPr>
            </w:pPr>
          </w:p>
        </w:tc>
        <w:tc>
          <w:tcPr>
            <w:tcW w:w="326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459" w:type="dxa"/>
            <w:vAlign w:val="center"/>
          </w:tcPr>
          <w:p>
            <w:pPr>
              <w:rPr>
                <w:lang w:eastAsia="ja-JP"/>
              </w:rPr>
            </w:pPr>
          </w:p>
        </w:tc>
        <w:tc>
          <w:tcPr>
            <w:tcW w:w="710" w:type="dxa"/>
            <w:vAlign w:val="center"/>
          </w:tcPr>
          <w:p>
            <w:pPr>
              <w:rPr>
                <w:lang w:eastAsia="ja-JP"/>
              </w:rPr>
            </w:pPr>
          </w:p>
        </w:tc>
        <w:tc>
          <w:tcPr>
            <w:tcW w:w="880" w:type="dxa"/>
            <w:vAlign w:val="center"/>
          </w:tcPr>
          <w:p>
            <w:pPr>
              <w:rPr>
                <w:lang w:eastAsia="ja-JP"/>
              </w:rPr>
            </w:pPr>
          </w:p>
        </w:tc>
        <w:tc>
          <w:tcPr>
            <w:tcW w:w="326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17.09.00;17.10.02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4" w:name="Q勾选Add2"/>
            <w:r>
              <w:rPr>
                <w:rFonts w:hint="eastAsia"/>
              </w:rPr>
              <w:t>■</w:t>
            </w:r>
            <w:bookmarkEnd w:id="24"/>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E勾选Add2"/>
            <w:r>
              <w:rPr>
                <w:rFonts w:hint="eastAsia"/>
              </w:rPr>
              <w:t>□</w:t>
            </w:r>
            <w:bookmarkEnd w:id="2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S勾选Add2"/>
            <w:r>
              <w:rPr>
                <w:rFonts w:hint="eastAsia"/>
              </w:rPr>
              <w:t>□</w:t>
            </w:r>
            <w:bookmarkEnd w:id="2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 xml:space="preserve">推荐保持认证注册(□监督审核 </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1035050" cy="3556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35050" cy="355600"/>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2022.3.14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原材料订制 □生产/服务过程 □检验检测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u w:val="single"/>
              </w:rPr>
              <w:t xml:space="preserve">    </w:t>
            </w:r>
            <w:r>
              <w:rPr>
                <w:rFonts w:ascii="楷体" w:hAnsi="楷体" w:eastAsia="楷体"/>
                <w:szCs w:val="21"/>
                <w:u w:val="single"/>
              </w:rPr>
              <w:t>严格管理、品质保证、持续改善、用户满意</w:t>
            </w:r>
            <w:r>
              <w:rPr>
                <w:rFonts w:hint="eastAsia"/>
                <w:u w:val="single"/>
              </w:rPr>
              <w:t xml:space="preserve">                                 </w:t>
            </w:r>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sz w:val="22"/>
                      <w:szCs w:val="22"/>
                      <w:lang w:eastAsia="zh-CN"/>
                    </w:rPr>
                    <w:t>产能不足</w:t>
                  </w:r>
                </w:p>
              </w:tc>
              <w:tc>
                <w:tcPr>
                  <w:tcW w:w="3965" w:type="dxa"/>
                </w:tcPr>
                <w:p>
                  <w:pPr>
                    <w:shd w:val="clear" w:color="auto" w:fill="C7DAF1" w:themeFill="text2" w:themeFillTint="32"/>
                  </w:pPr>
                  <w:r>
                    <w:rPr>
                      <w:rFonts w:hint="eastAsia"/>
                      <w:sz w:val="22"/>
                      <w:szCs w:val="22"/>
                      <w:lang w:eastAsia="zh-CN"/>
                    </w:rPr>
                    <w:t>提高生产效率，适当扩充生产线</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sz w:val="22"/>
                      <w:szCs w:val="22"/>
                      <w:lang w:eastAsia="zh-CN"/>
                    </w:rPr>
                    <w:t>售出成品出现质量问题</w:t>
                  </w:r>
                </w:p>
              </w:tc>
              <w:tc>
                <w:tcPr>
                  <w:tcW w:w="3965" w:type="dxa"/>
                </w:tcPr>
                <w:p>
                  <w:pPr>
                    <w:shd w:val="clear" w:color="auto" w:fill="C7DAF1" w:themeFill="text2" w:themeFillTint="32"/>
                  </w:pPr>
                  <w:r>
                    <w:rPr>
                      <w:rFonts w:hint="eastAsia"/>
                      <w:sz w:val="22"/>
                      <w:szCs w:val="22"/>
                      <w:lang w:eastAsia="zh-CN"/>
                    </w:rPr>
                    <w:t>制定召回方案，并进行召回演练</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ascii="楷体" w:hAnsi="楷体" w:eastAsia="楷体"/>
                      <w:szCs w:val="21"/>
                    </w:rPr>
                    <w:t>产品交付合格率99%以上；</w:t>
                  </w:r>
                </w:p>
              </w:tc>
              <w:tc>
                <w:tcPr>
                  <w:tcW w:w="3136" w:type="dxa"/>
                  <w:shd w:val="clear" w:color="auto" w:fill="auto"/>
                  <w:vAlign w:val="center"/>
                </w:tcPr>
                <w:p>
                  <w:pPr>
                    <w:jc w:val="center"/>
                    <w:rPr>
                      <w:rFonts w:hint="eastAsia"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宋体"/>
                      <w:bCs/>
                      <w:sz w:val="18"/>
                      <w:szCs w:val="18"/>
                    </w:rPr>
                    <w:t>顾客满意度</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4000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楷体" w:hAnsi="楷体" w:eastAsia="楷体"/>
                <w:szCs w:val="21"/>
                <w:u w:val="single"/>
              </w:rPr>
              <w:t>空气锤、立钻、锯床、电炉、液压机、车床、天车</w:t>
            </w:r>
            <w:r>
              <w:rPr>
                <w:rFonts w:ascii="楷体" w:hAnsi="楷体" w:eastAsia="楷体"/>
                <w:szCs w:val="21"/>
                <w:u w:val="single"/>
              </w:rPr>
              <w:t>；</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 xml:space="preserve">行车 </w:t>
            </w:r>
            <w:r>
              <w:rPr>
                <w:rFonts w:hint="eastAsia" w:ascii="Wingdings" w:hAnsi="Wingdings"/>
              </w:rPr>
              <w:t>¨</w:t>
            </w:r>
            <w:r>
              <w:rPr>
                <w:rFonts w:hint="eastAsia" w:ascii="Wingdings" w:hAnsi="Wingdings"/>
                <w:lang w:val="en-US" w:eastAsia="zh-CN"/>
              </w:rPr>
              <w:t>电炉</w:t>
            </w:r>
            <w:r>
              <w:rPr>
                <w:rFonts w:hint="eastAsia"/>
              </w:rPr>
              <w:t xml:space="preserve"> </w:t>
            </w:r>
            <w:r>
              <w:rPr>
                <w:rFonts w:hint="eastAsia" w:ascii="Wingdings" w:hAnsi="Wingdings"/>
              </w:rPr>
              <w:t>¨</w:t>
            </w:r>
            <w:r>
              <w:rPr>
                <w:rFonts w:hint="eastAsia"/>
                <w:lang w:val="en-US" w:eastAsia="zh-CN"/>
              </w:rPr>
              <w:t xml:space="preserve"> </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r>
              <w:rPr>
                <w:rFonts w:hint="eastAsia"/>
                <w:u w:val="single"/>
                <w:lang w:val="en-US" w:eastAsia="zh-CN"/>
              </w:rPr>
              <w:t>无</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ascii="Wingdings" w:hAnsi="Wingdings"/>
                <w:lang w:val="en-US" w:eastAsia="zh-CN"/>
              </w:rPr>
              <w:t xml:space="preserve"> </w:t>
            </w:r>
            <w:r>
              <w:rPr>
                <w:rFonts w:hint="eastAsia"/>
              </w:rPr>
              <w:t xml:space="preserve"> </w:t>
            </w:r>
            <w:r>
              <w:rPr>
                <w:rFonts w:hint="eastAsia"/>
                <w:lang w:val="en-US" w:eastAsia="zh-CN"/>
              </w:rPr>
              <w:t xml:space="preserve"> 无</w:t>
            </w:r>
          </w:p>
          <w:p>
            <w:pPr>
              <w:shd w:val="clear" w:color="auto" w:fill="C7DAF1" w:themeFill="text2" w:themeFillTint="32"/>
            </w:pPr>
            <w:r>
              <w:rPr>
                <w:rFonts w:hint="eastAsia"/>
              </w:rPr>
              <w:t>特种设备作业人员：</w:t>
            </w:r>
            <w:r>
              <w:rPr>
                <w:rFonts w:hint="eastAsia" w:ascii="Wingdings" w:hAnsi="Wingdings"/>
              </w:rPr>
              <w:t>¨</w:t>
            </w:r>
            <w:r>
              <w:rPr>
                <w:rFonts w:hint="eastAsia"/>
                <w:lang w:val="en-US" w:eastAsia="zh-CN"/>
              </w:rPr>
              <w:t>电炉</w:t>
            </w:r>
            <w:r>
              <w:rPr>
                <w:rFonts w:hint="eastAsia"/>
              </w:rPr>
              <w:t xml:space="preserve"> </w:t>
            </w:r>
            <w:r>
              <w:rPr>
                <w:rFonts w:hint="eastAsia" w:ascii="Wingdings" w:hAnsi="Wingdings"/>
              </w:rPr>
              <w:t>¨</w:t>
            </w:r>
            <w:r>
              <w:rPr>
                <w:rFonts w:hint="eastAsia"/>
                <w:lang w:val="en-US" w:eastAsia="zh-CN"/>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lang w:val="en-US" w:eastAsia="zh-CN"/>
              </w:rPr>
              <w:t xml:space="preserve"> </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lang w:val="en-US" w:eastAsia="zh-CN"/>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r>
              <w:rPr>
                <w:rFonts w:hint="eastAsia"/>
                <w:lang w:val="en-US" w:eastAsia="zh-CN"/>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eastAsia="zh-CN"/>
              </w:rPr>
            </w:pPr>
            <w:r>
              <w:rPr>
                <w:rFonts w:hint="eastAsia"/>
              </w:rPr>
              <w:sym w:font="Wingdings 2" w:char="0052"/>
            </w:r>
            <w:r>
              <w:rPr>
                <w:rFonts w:hint="eastAsia"/>
              </w:rPr>
              <w:t>法律法规获取充分，</w:t>
            </w:r>
            <w:r>
              <w:rPr>
                <w:rFonts w:hint="eastAsia"/>
                <w:lang w:val="en-US" w:eastAsia="zh-CN"/>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lang w:val="en-US" w:eastAsia="zh-CN"/>
              </w:rPr>
              <w:t xml:space="preserve"> </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282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4" w:type="dxa"/>
                </w:tcPr>
                <w:p>
                  <w:pPr>
                    <w:shd w:val="clear" w:color="auto" w:fill="C7DAF1" w:themeFill="text2" w:themeFillTint="32"/>
                    <w:jc w:val="left"/>
                  </w:pPr>
                  <w:r>
                    <w:rPr>
                      <w:rFonts w:hint="eastAsia"/>
                    </w:rPr>
                    <w:t>产品/服务名称</w:t>
                  </w:r>
                </w:p>
              </w:tc>
              <w:tc>
                <w:tcPr>
                  <w:tcW w:w="282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4" w:type="dxa"/>
                </w:tcPr>
                <w:p>
                  <w:pPr>
                    <w:shd w:val="clear" w:color="auto" w:fill="C7DAF1" w:themeFill="text2" w:themeFillTint="32"/>
                    <w:jc w:val="left"/>
                  </w:pPr>
                  <w:r>
                    <w:rPr>
                      <w:rFonts w:hint="eastAsia" w:ascii="楷体" w:hAnsi="楷体" w:eastAsia="楷体"/>
                      <w:szCs w:val="21"/>
                    </w:rPr>
                    <w:t>锻造锁接头、车床（机加工件）加工</w:t>
                  </w:r>
                </w:p>
              </w:tc>
              <w:tc>
                <w:tcPr>
                  <w:tcW w:w="2823" w:type="dxa"/>
                </w:tcPr>
                <w:p>
                  <w:pPr>
                    <w:shd w:val="clear" w:color="auto" w:fill="C7DAF1" w:themeFill="text2" w:themeFillTint="32"/>
                    <w:jc w:val="left"/>
                    <w:rPr>
                      <w:rFonts w:hint="default" w:eastAsia="宋体"/>
                      <w:lang w:val="en-US" w:eastAsia="zh-CN"/>
                    </w:rPr>
                  </w:pPr>
                  <w:r>
                    <w:rPr>
                      <w:rFonts w:hint="eastAsia"/>
                      <w:lang w:val="en-US" w:eastAsia="zh-CN"/>
                    </w:rPr>
                    <w:t>锻造、机械加工</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硬度、尺寸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4" w:type="dxa"/>
                </w:tcPr>
                <w:p>
                  <w:pPr>
                    <w:shd w:val="clear" w:color="auto" w:fill="C7DAF1" w:themeFill="text2" w:themeFillTint="32"/>
                    <w:jc w:val="left"/>
                  </w:pPr>
                </w:p>
              </w:tc>
              <w:tc>
                <w:tcPr>
                  <w:tcW w:w="282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4" w:type="dxa"/>
                </w:tcPr>
                <w:p>
                  <w:pPr>
                    <w:shd w:val="clear" w:color="auto" w:fill="C7DAF1" w:themeFill="text2" w:themeFillTint="32"/>
                    <w:jc w:val="left"/>
                  </w:pPr>
                </w:p>
              </w:tc>
              <w:tc>
                <w:tcPr>
                  <w:tcW w:w="282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热处理</w:t>
            </w:r>
            <w:r>
              <w:rPr>
                <w:rFonts w:hint="eastAsia"/>
                <w:u w:val="single"/>
              </w:rPr>
              <w:t xml:space="preserve">                                    </w:t>
            </w:r>
            <w:r>
              <w:rPr>
                <w:rFonts w:hint="eastAsia"/>
              </w:rPr>
              <w:t xml:space="preserve"> ，</w:t>
            </w:r>
          </w:p>
          <w:p>
            <w:pPr>
              <w:shd w:val="clear" w:color="auto" w:fill="C7DAF1" w:themeFill="text2" w:themeFillTint="32"/>
              <w:jc w:val="left"/>
              <w:rPr>
                <w:rFonts w:hint="eastAsia" w:eastAsia="宋体"/>
                <w:lang w:eastAsia="zh-CN"/>
              </w:rPr>
            </w:pPr>
            <w:r>
              <w:rPr>
                <w:rFonts w:hint="eastAsia" w:ascii="Wingdings" w:hAnsi="Wingdings"/>
              </w:rPr>
              <w:t>¨</w:t>
            </w:r>
            <w:r>
              <w:rPr>
                <w:rFonts w:hint="eastAsia"/>
              </w:rPr>
              <w:t xml:space="preserve">进行了有效的确认  </w:t>
            </w:r>
            <w:r>
              <w:rPr>
                <w:rFonts w:hint="eastAsia" w:ascii="Wingdings" w:hAnsi="Wingdings"/>
              </w:rPr>
              <w:t>¨</w:t>
            </w:r>
            <w:r>
              <w:rPr>
                <w:rFonts w:hint="eastAsia"/>
                <w:lang w:val="en-US" w:eastAsia="zh-CN"/>
              </w:rPr>
              <w:t xml:space="preserve"> </w:t>
            </w:r>
          </w:p>
          <w:p>
            <w:pPr>
              <w:shd w:val="clear" w:color="auto" w:fill="C7DAF1" w:themeFill="text2" w:themeFillTint="32"/>
              <w:jc w:val="left"/>
              <w:rPr>
                <w:rFonts w:hint="eastAsia" w:eastAsia="宋体"/>
                <w:lang w:eastAsia="zh-CN"/>
              </w:rPr>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 xml:space="preserve">图纸 </w:t>
            </w:r>
            <w:r>
              <w:rPr>
                <w:rFonts w:hint="eastAsia" w:ascii="Wingdings" w:hAnsi="Wingdings"/>
              </w:rPr>
              <w:t>¨</w:t>
            </w:r>
            <w:r>
              <w:rPr>
                <w:rFonts w:hint="eastAsia"/>
                <w:lang w:val="en-US" w:eastAsia="zh-CN"/>
              </w:rPr>
              <w:t xml:space="preserve"> </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eastAsia="宋体"/>
                <w:lang w:val="en-US" w:eastAsia="zh-CN"/>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8</w:t>
            </w:r>
            <w:bookmarkStart w:id="27" w:name="_GoBack"/>
            <w:bookmarkEnd w:id="27"/>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hint="eastAsia" w:eastAsia="宋体"/>
          <w:lang w:val="en-US" w:eastAsia="zh-CN"/>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A811834"/>
    <w:rsid w:val="634E04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List Paragraph"/>
    <w:basedOn w:val="1"/>
    <w:qFormat/>
    <w:uiPriority w:val="34"/>
    <w:pPr>
      <w:ind w:firstLine="420" w:firstLineChars="200"/>
    </w:p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批注框文本 字符"/>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2022-03-16T08:51:59Z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