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0132-2022-QEO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廊坊市罗以金属制品有限公司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廊坊市罗以金属制品有限公司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河北省廊坊市安次区仇庄乡北崔庄村63号</w:t>
            </w:r>
            <w:bookmarkEnd w:id="6"/>
          </w:p>
        </w:tc>
        <w:tc>
          <w:tcPr>
            <w:tcW w:w="1242" w:type="dxa"/>
            <w:vMerge w:val="restart"/>
            <w:vAlign w:val="center"/>
          </w:tcPr>
          <w:p>
            <w:r>
              <w:rPr>
                <w:rFonts w:hint="eastAsia"/>
              </w:rPr>
              <w:t>邮编</w:t>
            </w:r>
          </w:p>
        </w:tc>
        <w:tc>
          <w:tcPr>
            <w:tcW w:w="1771" w:type="dxa"/>
          </w:tcPr>
          <w:p>
            <w:bookmarkStart w:id="7" w:name="注册邮编"/>
            <w:r>
              <w:t>065001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河北省廊坊市安次区仇庄乡大王务村东南角</w:t>
            </w:r>
            <w:bookmarkEnd w:id="8"/>
          </w:p>
        </w:tc>
        <w:tc>
          <w:tcPr>
            <w:tcW w:w="1242" w:type="dxa"/>
            <w:vMerge w:val="continue"/>
            <w:vAlign w:val="center"/>
          </w:tcPr>
          <w:p/>
        </w:tc>
        <w:tc>
          <w:tcPr>
            <w:tcW w:w="1771" w:type="dxa"/>
          </w:tcPr>
          <w:p>
            <w:bookmarkStart w:id="9" w:name="办公邮编"/>
            <w:r>
              <w:t>065001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王喜志</w:t>
            </w:r>
            <w:bookmarkEnd w:id="10"/>
          </w:p>
        </w:tc>
        <w:tc>
          <w:tcPr>
            <w:tcW w:w="1313" w:type="dxa"/>
            <w:vAlign w:val="center"/>
          </w:tcPr>
          <w:p>
            <w:r>
              <w:rPr>
                <w:rFonts w:hint="eastAsia"/>
              </w:rPr>
              <w:t>电话.</w:t>
            </w:r>
          </w:p>
        </w:tc>
        <w:tc>
          <w:tcPr>
            <w:tcW w:w="2180" w:type="dxa"/>
            <w:vAlign w:val="center"/>
          </w:tcPr>
          <w:p>
            <w:bookmarkStart w:id="11" w:name="联系人电话"/>
            <w:r>
              <w:t>15830609748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王强</w:t>
            </w:r>
            <w:bookmarkEnd w:id="13"/>
          </w:p>
        </w:tc>
        <w:tc>
          <w:tcPr>
            <w:tcW w:w="1313" w:type="dxa"/>
            <w:vAlign w:val="center"/>
          </w:tcPr>
          <w:p>
            <w:r>
              <w:rPr>
                <w:rFonts w:hint="eastAsia"/>
              </w:rPr>
              <w:t>管理者代表</w:t>
            </w:r>
          </w:p>
        </w:tc>
        <w:tc>
          <w:tcPr>
            <w:tcW w:w="2180" w:type="dxa"/>
          </w:tcPr>
          <w:p>
            <w:bookmarkStart w:id="14" w:name="管理者代表"/>
            <w:r>
              <w:t>王喜志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ind w:firstLine="420" w:firstLineChars="2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下料→裁剪→成型→修整→检验→包装→入库</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2022年05月07日 上午至2022年05月08日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河北省廊坊市安次区仇庄乡大王务村东南角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Q：航空航天设备金属配件的加工</w:t>
            </w:r>
          </w:p>
          <w:p>
            <w:r>
              <w:t>E：航空航天设备金属配件的加工所涉及场所的相关环境管理活动</w:t>
            </w:r>
          </w:p>
          <w:p>
            <w:r>
              <w:t>O：航航空航天设备金属配件的加工所涉及场所的相关职业健康安全管理活动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Q：17.10.01;17.10.02</w:t>
            </w:r>
          </w:p>
          <w:p>
            <w:r>
              <w:t>E：17.10.01;17.10.02</w:t>
            </w:r>
          </w:p>
          <w:p>
            <w:r>
              <w:t>O：17.10.01;17.10.02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廊坊市罗以金属制品有限公司</w:t>
            </w:r>
            <w:r>
              <w:rPr>
                <w:rFonts w:hint="eastAsia"/>
                <w:sz w:val="21"/>
                <w:szCs w:val="21"/>
                <w:lang w:val="en-US" w:eastAsia="zh-CN"/>
              </w:rPr>
              <w:t>/</w:t>
            </w:r>
            <w:r>
              <w:rPr>
                <w:rFonts w:asciiTheme="minorEastAsia" w:hAnsiTheme="minorEastAsia" w:eastAsiaTheme="minorEastAsia"/>
                <w:sz w:val="20"/>
              </w:rPr>
              <w:t>河北省廊坊市安次区仇庄乡北崔庄村63号</w:t>
            </w:r>
          </w:p>
        </w:tc>
        <w:tc>
          <w:tcPr>
            <w:tcW w:w="2267" w:type="dxa"/>
          </w:tcPr>
          <w:p>
            <w:pPr>
              <w:rPr>
                <w:lang w:val="de-DE" w:eastAsia="ja-JP"/>
              </w:rPr>
            </w:pPr>
            <w:r>
              <w:rPr>
                <w:rFonts w:asciiTheme="minorEastAsia" w:hAnsiTheme="minorEastAsia" w:eastAsiaTheme="minorEastAsia"/>
                <w:sz w:val="20"/>
              </w:rPr>
              <w:t>河北省廊坊市安次区仇庄乡大王务村东南角</w:t>
            </w:r>
          </w:p>
        </w:tc>
        <w:tc>
          <w:tcPr>
            <w:tcW w:w="571" w:type="dxa"/>
            <w:vAlign w:val="center"/>
          </w:tcPr>
          <w:p>
            <w:pPr>
              <w:rPr>
                <w:rFonts w:hint="default" w:eastAsia="宋体"/>
                <w:lang w:val="en-US" w:eastAsia="zh-CN"/>
              </w:rPr>
            </w:pPr>
            <w:r>
              <w:rPr>
                <w:rFonts w:hint="eastAsia"/>
                <w:lang w:val="en-US" w:eastAsia="zh-CN"/>
              </w:rPr>
              <w:t>16人</w:t>
            </w:r>
          </w:p>
        </w:tc>
        <w:tc>
          <w:tcPr>
            <w:tcW w:w="2803" w:type="dxa"/>
            <w:vAlign w:val="center"/>
          </w:tcPr>
          <w:p>
            <w:pPr>
              <w:rPr>
                <w:sz w:val="20"/>
              </w:rPr>
            </w:pPr>
            <w:r>
              <w:rPr>
                <w:sz w:val="20"/>
              </w:rPr>
              <w:t>Q：航空航天设备金属配件的加工</w:t>
            </w:r>
          </w:p>
          <w:p>
            <w:pPr>
              <w:rPr>
                <w:sz w:val="20"/>
              </w:rPr>
            </w:pPr>
            <w:r>
              <w:rPr>
                <w:sz w:val="20"/>
              </w:rPr>
              <w:t>E：航空航天设备金属配件的加工所涉及场所的相关环境管理活动</w:t>
            </w:r>
          </w:p>
          <w:p>
            <w:pPr>
              <w:rPr>
                <w:lang w:eastAsia="ja-JP"/>
              </w:rPr>
            </w:pPr>
            <w:r>
              <w:rPr>
                <w:sz w:val="20"/>
              </w:rPr>
              <w:t>O：航航空航天设备金属配件的加工所涉及场所的相关职业健康安全管理活动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p>
          <w:p>
            <w:pPr>
              <w:rPr>
                <w:rFonts w:hint="eastAsia" w:eastAsia="宋体"/>
                <w:lang w:eastAsia="zh-CN"/>
              </w:rPr>
            </w:pPr>
            <w:r>
              <w:rPr>
                <w:rFonts w:hint="eastAsia"/>
                <w:lang w:eastAsia="zh-CN"/>
              </w:rPr>
              <w:t>、</w:t>
            </w:r>
            <w:r>
              <w:rPr>
                <w:rFonts w:hint="eastAsia" w:ascii="宋体" w:hAnsi="宋体"/>
                <w:b/>
                <w:sz w:val="21"/>
                <w:szCs w:val="21"/>
              </w:rPr>
              <w:t>GB/T45001-2020/ISO45001：2020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E:17.10.01,17.10.02</w:t>
            </w:r>
          </w:p>
          <w:p>
            <w:r>
              <w:t>O:17.10.01,17.10.02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Q:17.10.01,17.10.02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杨庆</w:t>
            </w:r>
          </w:p>
        </w:tc>
        <w:tc>
          <w:tcPr>
            <w:tcW w:w="1089" w:type="dxa"/>
            <w:vAlign w:val="center"/>
          </w:tcPr>
          <w:p>
            <w:r>
              <w:t>组员</w:t>
            </w:r>
          </w:p>
        </w:tc>
        <w:tc>
          <w:tcPr>
            <w:tcW w:w="711" w:type="dxa"/>
            <w:vAlign w:val="center"/>
          </w:tcPr>
          <w:p>
            <w:r>
              <w:t>女</w:t>
            </w:r>
          </w:p>
        </w:tc>
        <w:tc>
          <w:tcPr>
            <w:tcW w:w="3870" w:type="dxa"/>
            <w:vAlign w:val="center"/>
          </w:tcPr>
          <w:p>
            <w:r>
              <w:t>2020-N1QMS-1263525</w:t>
            </w:r>
          </w:p>
        </w:tc>
        <w:tc>
          <w:tcPr>
            <w:tcW w:w="2179" w:type="dxa"/>
            <w:vAlign w:val="center"/>
          </w:tcPr>
          <w:p>
            <w:r>
              <w:t>Q:17.10.01,17.10.02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航空航天设备金属配件的加工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航空航天设备金属配件的加工所涉及场所的相关环境管理活动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航航空航天设备金属配件的加工所涉及场所的相关职业健康安全管理活动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ascii="方正仿宋简体" w:eastAsia="方正仿宋简体"/>
                <w:b/>
              </w:rPr>
              <w:drawing>
                <wp:anchor distT="0" distB="0" distL="114300" distR="114300" simplePos="0" relativeHeight="251662336" behindDoc="0" locked="0" layoutInCell="1" allowOverlap="1">
                  <wp:simplePos x="0" y="0"/>
                  <wp:positionH relativeFrom="column">
                    <wp:posOffset>289560</wp:posOffset>
                  </wp:positionH>
                  <wp:positionV relativeFrom="paragraph">
                    <wp:posOffset>370205</wp:posOffset>
                  </wp:positionV>
                  <wp:extent cx="752475" cy="628650"/>
                  <wp:effectExtent l="0" t="0" r="9525" b="0"/>
                  <wp:wrapNone/>
                  <wp:docPr id="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kinsoku w:val="0"/>
              <w:overflowPunct w:val="0"/>
              <w:autoSpaceDE w:val="0"/>
              <w:autoSpaceDN w:val="0"/>
              <w:adjustRightInd w:val="0"/>
              <w:snapToGrid w:val="0"/>
              <w:spacing w:line="440" w:lineRule="exact"/>
              <w:jc w:val="both"/>
              <w:rPr>
                <w:rFonts w:hint="eastAsia" w:ascii="宋体" w:hAnsi="宋体"/>
                <w:spacing w:val="20"/>
                <w:sz w:val="18"/>
                <w:szCs w:val="18"/>
              </w:rPr>
            </w:pPr>
            <w:r>
              <w:rPr>
                <w:rFonts w:hint="eastAsia" w:ascii="宋体" w:hAnsi="宋体" w:cs="宋体"/>
                <w:bCs/>
                <w:sz w:val="21"/>
                <w:szCs w:val="21"/>
                <w:lang w:val="en-US" w:eastAsia="zh-CN"/>
              </w:rPr>
              <w:t>质量第一，顾客至上；</w:t>
            </w:r>
            <w:r>
              <w:rPr>
                <w:rFonts w:hint="eastAsia" w:ascii="宋体" w:hAnsi="宋体" w:cs="宋体"/>
                <w:bCs/>
                <w:sz w:val="21"/>
                <w:szCs w:val="21"/>
              </w:rPr>
              <w:t>节能减废</w:t>
            </w:r>
            <w:r>
              <w:rPr>
                <w:rFonts w:hint="eastAsia" w:ascii="宋体" w:hAnsi="宋体" w:cs="宋体"/>
                <w:bCs/>
                <w:sz w:val="21"/>
                <w:szCs w:val="21"/>
                <w:lang w:eastAsia="zh-CN"/>
              </w:rPr>
              <w:t>、</w:t>
            </w:r>
            <w:r>
              <w:rPr>
                <w:rFonts w:hint="eastAsia" w:ascii="宋体" w:hAnsi="宋体" w:cs="宋体"/>
                <w:bCs/>
                <w:sz w:val="21"/>
                <w:szCs w:val="21"/>
              </w:rPr>
              <w:t>预防污染</w:t>
            </w:r>
            <w:r>
              <w:rPr>
                <w:rFonts w:hint="eastAsia" w:ascii="宋体" w:hAnsi="宋体" w:cs="宋体"/>
                <w:bCs/>
                <w:sz w:val="21"/>
                <w:szCs w:val="21"/>
                <w:lang w:eastAsia="zh-CN"/>
              </w:rPr>
              <w:t>；</w:t>
            </w:r>
            <w:r>
              <w:rPr>
                <w:rFonts w:hint="eastAsia" w:ascii="宋体" w:hAnsi="宋体" w:cs="宋体"/>
                <w:bCs/>
                <w:sz w:val="21"/>
                <w:szCs w:val="21"/>
              </w:rPr>
              <w:t>遵守法规，安全第</w:t>
            </w:r>
            <w:r>
              <w:rPr>
                <w:rFonts w:hint="eastAsia" w:ascii="宋体" w:hAnsi="宋体" w:cs="宋体"/>
                <w:bCs/>
                <w:sz w:val="21"/>
                <w:szCs w:val="21"/>
                <w:lang w:eastAsia="zh-CN"/>
              </w:rPr>
              <w:t>；</w:t>
            </w:r>
            <w:r>
              <w:rPr>
                <w:rFonts w:hint="eastAsia" w:ascii="宋体" w:hAnsi="宋体" w:cs="宋体"/>
                <w:bCs/>
                <w:sz w:val="21"/>
                <w:szCs w:val="21"/>
              </w:rPr>
              <w:t>消除隐患、持续改进</w:t>
            </w:r>
            <w:r>
              <w:rPr>
                <w:rFonts w:hint="eastAsia" w:ascii="宋体" w:hAnsi="宋体" w:cs="宋体"/>
                <w:bCs/>
                <w:sz w:val="21"/>
                <w:szCs w:val="21"/>
                <w:lang w:eastAsia="zh-CN"/>
              </w:rPr>
              <w:t>。</w:t>
            </w:r>
            <w:r>
              <w:rPr>
                <w:rFonts w:hint="eastAsia" w:ascii="宋体" w:hAnsi="宋体"/>
                <w:spacing w:val="20"/>
                <w:sz w:val="18"/>
                <w:szCs w:val="18"/>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质量目标：</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产</w:t>
            </w:r>
            <w:r>
              <w:rPr>
                <w:rFonts w:hint="eastAsia" w:ascii="Times New Roman" w:hAnsi="Times New Roman" w:cs="Times New Roman"/>
                <w:sz w:val="21"/>
                <w:szCs w:val="21"/>
              </w:rPr>
              <w:t>品</w:t>
            </w:r>
            <w:r>
              <w:rPr>
                <w:rFonts w:hint="eastAsia" w:ascii="Times New Roman" w:hAnsi="Times New Roman" w:cs="Times New Roman"/>
                <w:sz w:val="21"/>
                <w:szCs w:val="21"/>
                <w:lang w:val="en-US" w:eastAsia="zh-CN"/>
              </w:rPr>
              <w:t>加工</w:t>
            </w:r>
            <w:r>
              <w:rPr>
                <w:rFonts w:hint="eastAsia" w:ascii="Times New Roman" w:hAnsi="Times New Roman" w:cs="Times New Roman"/>
                <w:sz w:val="21"/>
                <w:szCs w:val="21"/>
              </w:rPr>
              <w:t>合格率≥</w:t>
            </w:r>
            <w:r>
              <w:rPr>
                <w:rFonts w:hint="eastAsia" w:ascii="Times New Roman" w:hAnsi="Times New Roman"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 xml:space="preserve">      100%</w:t>
            </w:r>
          </w:p>
          <w:p>
            <w:pPr>
              <w:spacing w:line="240" w:lineRule="auto"/>
              <w:rPr>
                <w:rFonts w:hint="eastAsia" w:ascii="Wingdings" w:hAnsi="Wingdings"/>
              </w:rPr>
            </w:pPr>
            <w:r>
              <w:rPr>
                <w:rFonts w:hint="eastAsia" w:ascii="Times New Roman" w:hAnsi="Times New Roman" w:cs="Times New Roman"/>
                <w:sz w:val="21"/>
                <w:szCs w:val="21"/>
              </w:rPr>
              <w:t>顾客满意度≥</w:t>
            </w:r>
            <w:r>
              <w:rPr>
                <w:rFonts w:hint="eastAsia" w:ascii="Times New Roman" w:hAnsi="Times New Roman" w:cs="Times New Roman"/>
                <w:sz w:val="21"/>
                <w:szCs w:val="21"/>
                <w:lang w:val="en-US" w:eastAsia="zh-CN"/>
              </w:rPr>
              <w:t>96</w:t>
            </w:r>
            <w:r>
              <w:rPr>
                <w:rFonts w:hint="eastAsia" w:ascii="Times New Roman" w:hAnsi="Times New Roman" w:cs="Times New Roman"/>
                <w:sz w:val="21"/>
                <w:szCs w:val="21"/>
              </w:rPr>
              <w:t>分</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98</w:t>
            </w:r>
            <w:r>
              <w:rPr>
                <w:rFonts w:hint="default" w:ascii="Times New Roman" w:hAnsi="Times New Roman" w:cs="Times New Roman"/>
                <w:sz w:val="21"/>
                <w:szCs w:val="21"/>
              </w:rPr>
              <w:t>%</w:t>
            </w:r>
            <w:r>
              <w:rPr>
                <w:rFonts w:hint="eastAsia" w:ascii="宋体" w:hAnsi="宋体" w:cs="宋体"/>
                <w:szCs w:val="21"/>
                <w:lang w:val="en-US" w:eastAsia="zh-CN"/>
              </w:rPr>
              <w:t xml:space="preserve"> </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szCs w:val="22"/>
                <w:u w:val="single"/>
                <w:lang w:val="en-US" w:eastAsia="zh-CN"/>
              </w:rPr>
              <w:t>数控机床、铣床、行车</w:t>
            </w:r>
            <w:r>
              <w:rPr>
                <w:rFonts w:hint="eastAsia"/>
                <w:szCs w:val="22"/>
                <w:u w:val="single"/>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52"/>
            </w:r>
            <w:r>
              <w:rPr>
                <w:rFonts w:hint="eastAsia"/>
              </w:rPr>
              <w:t>未进行定期检验的有：</w:t>
            </w:r>
            <w:r>
              <w:rPr>
                <w:rFonts w:hint="eastAsia"/>
                <w:lang w:val="en-US" w:eastAsia="zh-CN"/>
              </w:rPr>
              <w:t>叉车，开具了不符合。</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方正仿宋简体" w:eastAsia="方正仿宋简体"/>
                <w:b w:val="0"/>
                <w:bCs/>
                <w:u w:val="single"/>
              </w:rPr>
              <w:t>游标卡尺、内径千分尺、外径千分尺</w:t>
            </w:r>
            <w:r>
              <w:rPr>
                <w:rFonts w:hint="eastAsia"/>
                <w:szCs w:val="22"/>
                <w:u w:val="single"/>
                <w:lang w:val="en-US" w:eastAsia="zh-CN"/>
              </w:rPr>
              <w:t>等</w:t>
            </w:r>
            <w:r>
              <w:rPr>
                <w:rFonts w:hint="eastAsia"/>
                <w:u w:val="single"/>
              </w:rPr>
              <w:t xml:space="preserve"> </w:t>
            </w:r>
          </w:p>
          <w:p>
            <w:pPr>
              <w:shd w:val="clear" w:color="auto" w:fill="C7DAF1" w:themeFill="text2" w:themeFillTint="32"/>
              <w:rPr>
                <w:rFonts w:hint="default" w:eastAsia="方正仿宋简体"/>
                <w:u w:val="single"/>
                <w:lang w:val="en-US" w:eastAsia="zh-CN"/>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52"/>
            </w:r>
            <w:r>
              <w:rPr>
                <w:rFonts w:hint="eastAsia"/>
              </w:rPr>
              <w:t>未进行定期校准/检定的有：</w:t>
            </w:r>
            <w:r>
              <w:rPr>
                <w:rFonts w:hint="eastAsia" w:ascii="方正仿宋简体" w:eastAsia="方正仿宋简体"/>
                <w:b w:val="0"/>
                <w:bCs/>
              </w:rPr>
              <w:t>游标卡尺、内径千分尺、外径千分尺</w:t>
            </w:r>
            <w:r>
              <w:rPr>
                <w:rFonts w:hint="eastAsia" w:ascii="方正仿宋简体" w:eastAsia="方正仿宋简体"/>
                <w:b w:val="0"/>
                <w:bCs/>
                <w:lang w:eastAsia="zh-CN"/>
              </w:rPr>
              <w:t>，</w:t>
            </w:r>
            <w:r>
              <w:rPr>
                <w:rFonts w:hint="eastAsia" w:ascii="方正仿宋简体" w:eastAsia="方正仿宋简体"/>
                <w:b w:val="0"/>
                <w:bCs/>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r>
                    <w:rPr>
                      <w:sz w:val="20"/>
                    </w:rPr>
                    <w:t>航空航天设备金属配件的加工</w:t>
                  </w:r>
                </w:p>
              </w:tc>
              <w:tc>
                <w:tcPr>
                  <w:tcW w:w="3665" w:type="dxa"/>
                </w:tcPr>
                <w:p>
                  <w:pPr>
                    <w:shd w:val="clear" w:color="auto" w:fill="C7DAF1" w:themeFill="text2" w:themeFillTint="32"/>
                    <w:jc w:val="left"/>
                    <w:rPr>
                      <w:rFonts w:hint="default" w:eastAsia="宋体"/>
                      <w:lang w:val="en-US" w:eastAsia="zh-CN"/>
                    </w:rPr>
                  </w:pPr>
                  <w:r>
                    <w:rPr>
                      <w:rFonts w:hint="eastAsia"/>
                      <w:b w:val="0"/>
                      <w:bCs/>
                      <w:sz w:val="21"/>
                      <w:szCs w:val="21"/>
                      <w:lang w:val="en-US" w:eastAsia="zh-CN"/>
                    </w:rPr>
                    <w:t>关键过程：检验，需要确认的过程：焊接，</w:t>
                  </w:r>
                </w:p>
              </w:tc>
              <w:tc>
                <w:tcPr>
                  <w:tcW w:w="3265" w:type="dxa"/>
                </w:tcPr>
                <w:p>
                  <w:pPr>
                    <w:shd w:val="clear" w:color="auto" w:fill="C7DAF1" w:themeFill="text2" w:themeFillTint="32"/>
                    <w:jc w:val="left"/>
                    <w:rPr>
                      <w:rFonts w:hint="default" w:eastAsia="宋体"/>
                      <w:lang w:val="en-US" w:eastAsia="zh-CN"/>
                    </w:rPr>
                  </w:pPr>
                  <w:r>
                    <w:rPr>
                      <w:rFonts w:hint="eastAsia"/>
                      <w:b w:val="0"/>
                      <w:bCs/>
                      <w:color w:val="000000"/>
                      <w:sz w:val="21"/>
                      <w:szCs w:val="21"/>
                      <w:u w:val="none"/>
                      <w:lang w:val="en-US" w:eastAsia="zh-CN"/>
                    </w:rPr>
                    <w:t>准确，均匀、不漏焊、电流等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kinsoku w:val="0"/>
              <w:overflowPunct w:val="0"/>
              <w:autoSpaceDE w:val="0"/>
              <w:autoSpaceDN w:val="0"/>
              <w:adjustRightInd w:val="0"/>
              <w:snapToGrid w:val="0"/>
              <w:spacing w:line="440" w:lineRule="exact"/>
              <w:jc w:val="both"/>
              <w:rPr>
                <w:rFonts w:hint="eastAsia" w:eastAsia="宋体"/>
                <w:lang w:eastAsia="zh-CN"/>
              </w:rPr>
            </w:pPr>
            <w:r>
              <w:rPr>
                <w:rFonts w:hint="eastAsia" w:ascii="宋体" w:hAnsi="宋体" w:cs="宋体"/>
                <w:bCs/>
                <w:sz w:val="21"/>
                <w:szCs w:val="21"/>
                <w:lang w:val="en-US" w:eastAsia="zh-CN"/>
              </w:rPr>
              <w:t>质量第一，顾客至上；</w:t>
            </w:r>
            <w:r>
              <w:rPr>
                <w:rFonts w:hint="eastAsia" w:ascii="宋体" w:hAnsi="宋体" w:cs="宋体"/>
                <w:bCs/>
                <w:sz w:val="21"/>
                <w:szCs w:val="21"/>
              </w:rPr>
              <w:t>节能减废</w:t>
            </w:r>
            <w:r>
              <w:rPr>
                <w:rFonts w:hint="eastAsia" w:ascii="宋体" w:hAnsi="宋体" w:cs="宋体"/>
                <w:bCs/>
                <w:sz w:val="21"/>
                <w:szCs w:val="21"/>
                <w:lang w:eastAsia="zh-CN"/>
              </w:rPr>
              <w:t>、</w:t>
            </w:r>
            <w:r>
              <w:rPr>
                <w:rFonts w:hint="eastAsia" w:ascii="宋体" w:hAnsi="宋体" w:cs="宋体"/>
                <w:bCs/>
                <w:sz w:val="21"/>
                <w:szCs w:val="21"/>
              </w:rPr>
              <w:t>预防污染</w:t>
            </w:r>
            <w:r>
              <w:rPr>
                <w:rFonts w:hint="eastAsia" w:ascii="宋体" w:hAnsi="宋体" w:cs="宋体"/>
                <w:bCs/>
                <w:sz w:val="21"/>
                <w:szCs w:val="21"/>
                <w:lang w:eastAsia="zh-CN"/>
              </w:rPr>
              <w:t>；</w:t>
            </w:r>
            <w:r>
              <w:rPr>
                <w:rFonts w:hint="eastAsia" w:ascii="宋体" w:hAnsi="宋体" w:cs="宋体"/>
                <w:bCs/>
                <w:sz w:val="21"/>
                <w:szCs w:val="21"/>
              </w:rPr>
              <w:t>遵守法规，安全第</w:t>
            </w:r>
            <w:r>
              <w:rPr>
                <w:rFonts w:hint="eastAsia" w:ascii="宋体" w:hAnsi="宋体" w:cs="宋体"/>
                <w:bCs/>
                <w:sz w:val="21"/>
                <w:szCs w:val="21"/>
                <w:lang w:eastAsia="zh-CN"/>
              </w:rPr>
              <w:t>；</w:t>
            </w:r>
            <w:r>
              <w:rPr>
                <w:rFonts w:hint="eastAsia" w:ascii="宋体" w:hAnsi="宋体" w:cs="宋体"/>
                <w:bCs/>
                <w:sz w:val="21"/>
                <w:szCs w:val="21"/>
              </w:rPr>
              <w:t>消除隐患、持续改进</w:t>
            </w:r>
            <w:r>
              <w:rPr>
                <w:rFonts w:hint="eastAsia" w:ascii="宋体" w:hAnsi="宋体" w:cs="宋体"/>
                <w:bCs/>
                <w:sz w:val="21"/>
                <w:szCs w:val="21"/>
                <w:lang w:eastAsia="zh-CN"/>
              </w:rPr>
              <w:t>。</w:t>
            </w:r>
          </w:p>
          <w:p>
            <w:pPr>
              <w:shd w:val="clear" w:color="auto" w:fill="EBF1DE" w:themeFill="accent3" w:themeFillTint="32"/>
              <w:ind w:firstLine="420" w:firstLineChars="200"/>
              <w:rPr>
                <w:rFonts w:hint="eastAsia" w:ascii="宋体" w:hAnsi="宋体" w:cs="宋体"/>
                <w:szCs w:val="21"/>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color w:val="auto"/>
              </w:rPr>
            </w:pPr>
            <w:r>
              <w:rPr>
                <w:rFonts w:hint="eastAsia"/>
              </w:rPr>
              <w:sym w:font="Wingdings 2" w:char="00A3"/>
            </w:r>
            <w:r>
              <w:rPr>
                <w:rFonts w:hint="eastAsia"/>
              </w:rPr>
              <w:t xml:space="preserve">排污许可证编号： </w:t>
            </w:r>
            <w:r>
              <w:rPr>
                <w:rFonts w:hint="eastAsia"/>
                <w:u w:val="single"/>
              </w:rPr>
              <w:t xml:space="preserve">  </w:t>
            </w:r>
            <w:r>
              <w:rPr>
                <w:rFonts w:hint="eastAsia"/>
                <w:color w:val="auto"/>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w:t>
            </w:r>
            <w:r>
              <w:rPr>
                <w:rFonts w:hint="eastAsia"/>
              </w:rPr>
              <w:sym w:font="Wingdings 2" w:char="00A3"/>
            </w:r>
            <w:r>
              <w:rPr>
                <w:rFonts w:hint="eastAsia"/>
              </w:rPr>
              <w:t xml:space="preserve">危化品控制 </w:t>
            </w:r>
          </w:p>
          <w:p>
            <w:pPr>
              <w:shd w:val="clear" w:color="auto" w:fill="EBF1DE" w:themeFill="accent3" w:themeFillTint="32"/>
              <w:rPr>
                <w:highlight w:val="cyan"/>
              </w:rPr>
            </w:pPr>
            <w:r>
              <w:rPr>
                <w:rFonts w:hint="eastAsia"/>
              </w:rPr>
              <w:sym w:font="Wingdings 2" w:char="00A3"/>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numPr>
                <w:ilvl w:val="0"/>
                <w:numId w:val="0"/>
              </w:numPr>
              <w:autoSpaceDN w:val="0"/>
              <w:spacing w:line="240" w:lineRule="auto"/>
              <w:rPr>
                <w:rFonts w:hint="default" w:ascii="宋体" w:hAnsi="宋体"/>
                <w:color w:val="000000"/>
                <w:sz w:val="21"/>
                <w:szCs w:val="21"/>
                <w:lang w:val="en-US" w:eastAsia="zh-CN"/>
              </w:rPr>
            </w:pPr>
            <w:r>
              <w:rPr>
                <w:rFonts w:hint="eastAsia" w:ascii="宋体" w:hAnsi="宋体"/>
                <w:color w:val="000000"/>
                <w:sz w:val="21"/>
                <w:szCs w:val="21"/>
              </w:rPr>
              <w:t>不发生</w:t>
            </w:r>
            <w:r>
              <w:rPr>
                <w:rFonts w:hint="eastAsia" w:ascii="宋体" w:hAnsi="宋体"/>
                <w:color w:val="000000"/>
                <w:sz w:val="21"/>
                <w:szCs w:val="21"/>
                <w:lang w:eastAsia="zh-CN"/>
              </w:rPr>
              <w:t>火灾事故；</w:t>
            </w:r>
            <w:r>
              <w:rPr>
                <w:rFonts w:hint="eastAsia" w:ascii="宋体" w:hAnsi="宋体"/>
                <w:color w:val="000000"/>
                <w:sz w:val="21"/>
                <w:szCs w:val="21"/>
                <w:lang w:val="en-US" w:eastAsia="zh-CN"/>
              </w:rPr>
              <w:t xml:space="preserve">            0</w:t>
            </w:r>
          </w:p>
          <w:p>
            <w:pPr>
              <w:numPr>
                <w:ilvl w:val="0"/>
                <w:numId w:val="0"/>
              </w:numPr>
              <w:autoSpaceDN w:val="0"/>
              <w:spacing w:line="240" w:lineRule="auto"/>
              <w:rPr>
                <w:rFonts w:hint="default" w:ascii="宋体" w:hAnsi="宋体"/>
                <w:color w:val="000000"/>
                <w:sz w:val="21"/>
                <w:szCs w:val="21"/>
                <w:lang w:val="en-US" w:eastAsia="zh-CN"/>
              </w:rPr>
            </w:pPr>
            <w:r>
              <w:rPr>
                <w:rFonts w:hint="eastAsia" w:ascii="宋体" w:hAnsi="宋体"/>
                <w:color w:val="000000"/>
                <w:sz w:val="21"/>
                <w:szCs w:val="21"/>
              </w:rPr>
              <w:t>固体废物分类</w:t>
            </w:r>
            <w:r>
              <w:rPr>
                <w:rFonts w:hint="eastAsia" w:ascii="宋体" w:hAnsi="宋体"/>
                <w:color w:val="000000"/>
                <w:sz w:val="21"/>
                <w:szCs w:val="21"/>
                <w:lang w:eastAsia="zh-CN"/>
              </w:rPr>
              <w:t>、</w:t>
            </w:r>
            <w:r>
              <w:rPr>
                <w:rFonts w:hint="eastAsia" w:ascii="宋体" w:hAnsi="宋体"/>
                <w:color w:val="000000"/>
                <w:sz w:val="21"/>
                <w:szCs w:val="21"/>
              </w:rPr>
              <w:t>收集</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分类、收集</w:t>
            </w:r>
          </w:p>
          <w:p>
            <w:pPr>
              <w:numPr>
                <w:ilvl w:val="0"/>
                <w:numId w:val="0"/>
              </w:numPr>
              <w:autoSpaceDN w:val="0"/>
              <w:spacing w:line="240" w:lineRule="auto"/>
              <w:rPr>
                <w:rFonts w:hint="eastAsia" w:ascii="Wingdings" w:hAnsi="Wingdings"/>
              </w:rPr>
            </w:pPr>
            <w:r>
              <w:rPr>
                <w:rFonts w:hint="eastAsia" w:hAnsi="宋体"/>
                <w:color w:val="000000"/>
                <w:sz w:val="21"/>
                <w:szCs w:val="21"/>
                <w:lang w:val="en-US" w:eastAsia="zh-CN"/>
              </w:rPr>
              <w:t>无</w:t>
            </w:r>
            <w:r>
              <w:rPr>
                <w:rFonts w:hint="eastAsia" w:hAnsi="宋体"/>
                <w:color w:val="000000"/>
                <w:sz w:val="21"/>
                <w:szCs w:val="21"/>
                <w:lang w:eastAsia="zh-CN"/>
              </w:rPr>
              <w:t>环境污染</w:t>
            </w:r>
            <w:r>
              <w:rPr>
                <w:rFonts w:hint="eastAsia" w:hAnsi="宋体"/>
                <w:color w:val="000000"/>
                <w:sz w:val="21"/>
                <w:szCs w:val="21"/>
                <w:lang w:val="en-US" w:eastAsia="zh-CN"/>
              </w:rPr>
              <w:t>投诉</w:t>
            </w:r>
            <w:r>
              <w:rPr>
                <w:rFonts w:hint="eastAsia" w:hAnsi="宋体"/>
                <w:color w:val="000000"/>
                <w:sz w:val="21"/>
                <w:szCs w:val="21"/>
                <w:lang w:eastAsia="zh-CN"/>
              </w:rPr>
              <w:t>；</w:t>
            </w:r>
            <w:r>
              <w:rPr>
                <w:rFonts w:hint="eastAsia" w:hAnsi="宋体"/>
                <w:color w:val="000000"/>
                <w:sz w:val="21"/>
                <w:szCs w:val="21"/>
                <w:lang w:val="en-US" w:eastAsia="zh-CN"/>
              </w:rPr>
              <w:t xml:space="preserve">            无</w:t>
            </w:r>
            <w:r>
              <w:rPr>
                <w:rFonts w:hint="eastAsia" w:ascii="宋体" w:hAnsi="宋体" w:cs="宋体"/>
                <w:szCs w:val="21"/>
                <w:lang w:val="en-US" w:eastAsia="zh-CN"/>
              </w:rPr>
              <w:t xml:space="preserve"> </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1500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A3"/>
            </w:r>
            <w:r>
              <w:rPr>
                <w:rFonts w:hint="eastAsia"/>
              </w:rPr>
              <w:t>定期（每年）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52"/>
            </w:r>
            <w:r>
              <w:rPr>
                <w:rFonts w:hint="eastAsia"/>
              </w:rPr>
              <w:t xml:space="preserve">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rPr>
                <w:rFonts w:hint="eastAsia" w:ascii="宋体" w:hAnsi="宋体" w:cs="宋体"/>
                <w:szCs w:val="21"/>
                <w:lang w:val="en-US" w:eastAsia="zh-CN"/>
              </w:rPr>
            </w:pPr>
            <w:r>
              <w:rPr>
                <w:rFonts w:hint="eastAsia"/>
              </w:rPr>
              <w:t>最高管理者制定了文件化的职业健康安全管理体系方针：</w:t>
            </w:r>
          </w:p>
          <w:p>
            <w:pPr>
              <w:kinsoku w:val="0"/>
              <w:overflowPunct w:val="0"/>
              <w:autoSpaceDE w:val="0"/>
              <w:autoSpaceDN w:val="0"/>
              <w:adjustRightInd w:val="0"/>
              <w:snapToGrid w:val="0"/>
              <w:spacing w:line="440" w:lineRule="exact"/>
              <w:jc w:val="both"/>
              <w:rPr>
                <w:rFonts w:hint="eastAsia" w:eastAsia="宋体"/>
                <w:lang w:eastAsia="zh-CN"/>
              </w:rPr>
            </w:pPr>
            <w:r>
              <w:rPr>
                <w:rFonts w:hint="eastAsia" w:ascii="宋体" w:hAnsi="宋体" w:cs="宋体"/>
                <w:bCs/>
                <w:sz w:val="21"/>
                <w:szCs w:val="21"/>
                <w:lang w:val="en-US" w:eastAsia="zh-CN"/>
              </w:rPr>
              <w:t>质量第一，顾客至上；</w:t>
            </w:r>
            <w:r>
              <w:rPr>
                <w:rFonts w:hint="eastAsia" w:ascii="宋体" w:hAnsi="宋体" w:cs="宋体"/>
                <w:bCs/>
                <w:sz w:val="21"/>
                <w:szCs w:val="21"/>
              </w:rPr>
              <w:t>节能减废</w:t>
            </w:r>
            <w:r>
              <w:rPr>
                <w:rFonts w:hint="eastAsia" w:ascii="宋体" w:hAnsi="宋体" w:cs="宋体"/>
                <w:bCs/>
                <w:sz w:val="21"/>
                <w:szCs w:val="21"/>
                <w:lang w:eastAsia="zh-CN"/>
              </w:rPr>
              <w:t>、</w:t>
            </w:r>
            <w:r>
              <w:rPr>
                <w:rFonts w:hint="eastAsia" w:ascii="宋体" w:hAnsi="宋体" w:cs="宋体"/>
                <w:bCs/>
                <w:sz w:val="21"/>
                <w:szCs w:val="21"/>
              </w:rPr>
              <w:t>预防污染</w:t>
            </w:r>
            <w:r>
              <w:rPr>
                <w:rFonts w:hint="eastAsia" w:ascii="宋体" w:hAnsi="宋体" w:cs="宋体"/>
                <w:bCs/>
                <w:sz w:val="21"/>
                <w:szCs w:val="21"/>
                <w:lang w:eastAsia="zh-CN"/>
              </w:rPr>
              <w:t>；</w:t>
            </w:r>
            <w:r>
              <w:rPr>
                <w:rFonts w:hint="eastAsia" w:ascii="宋体" w:hAnsi="宋体" w:cs="宋体"/>
                <w:bCs/>
                <w:sz w:val="21"/>
                <w:szCs w:val="21"/>
              </w:rPr>
              <w:t>遵守法规，安全第</w:t>
            </w:r>
            <w:r>
              <w:rPr>
                <w:rFonts w:hint="eastAsia" w:ascii="宋体" w:hAnsi="宋体" w:cs="宋体"/>
                <w:bCs/>
                <w:sz w:val="21"/>
                <w:szCs w:val="21"/>
                <w:lang w:eastAsia="zh-CN"/>
              </w:rPr>
              <w:t>；</w:t>
            </w:r>
            <w:r>
              <w:rPr>
                <w:rFonts w:hint="eastAsia" w:ascii="宋体" w:hAnsi="宋体" w:cs="宋体"/>
                <w:bCs/>
                <w:sz w:val="21"/>
                <w:szCs w:val="21"/>
              </w:rPr>
              <w:t>消除隐患、持续改进</w:t>
            </w:r>
            <w:r>
              <w:rPr>
                <w:rFonts w:hint="eastAsia" w:ascii="宋体" w:hAnsi="宋体" w:cs="宋体"/>
                <w:bCs/>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szCs w:val="21"/>
                <w:lang w:val="en-US" w:eastAsia="zh-CN"/>
              </w:rPr>
              <w:t>王亮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A3"/>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numPr>
                <w:ilvl w:val="0"/>
                <w:numId w:val="0"/>
              </w:numPr>
              <w:autoSpaceDN w:val="0"/>
              <w:spacing w:line="240" w:lineRule="auto"/>
              <w:rPr>
                <w:rFonts w:hint="default" w:ascii="宋体" w:hAnsi="宋体"/>
                <w:color w:val="000000"/>
                <w:sz w:val="21"/>
                <w:szCs w:val="21"/>
                <w:lang w:val="en-US" w:eastAsia="zh-CN"/>
              </w:rPr>
            </w:pPr>
            <w:r>
              <w:rPr>
                <w:rFonts w:hint="eastAsia" w:ascii="宋体" w:hAnsi="宋体"/>
                <w:color w:val="000000"/>
                <w:sz w:val="21"/>
                <w:szCs w:val="21"/>
              </w:rPr>
              <w:t>不发生</w:t>
            </w:r>
            <w:r>
              <w:rPr>
                <w:rFonts w:hint="eastAsia" w:ascii="宋体" w:hAnsi="宋体"/>
                <w:color w:val="000000"/>
                <w:sz w:val="21"/>
                <w:szCs w:val="21"/>
                <w:lang w:eastAsia="zh-CN"/>
              </w:rPr>
              <w:t>火灾事故；</w:t>
            </w:r>
            <w:r>
              <w:rPr>
                <w:rFonts w:hint="eastAsia" w:ascii="宋体" w:hAnsi="宋体"/>
                <w:color w:val="000000"/>
                <w:sz w:val="21"/>
                <w:szCs w:val="21"/>
                <w:lang w:val="en-US" w:eastAsia="zh-CN"/>
              </w:rPr>
              <w:t xml:space="preserve">            0</w:t>
            </w:r>
          </w:p>
          <w:p>
            <w:pPr>
              <w:numPr>
                <w:ilvl w:val="0"/>
                <w:numId w:val="0"/>
              </w:numPr>
              <w:autoSpaceDN w:val="0"/>
              <w:spacing w:line="240" w:lineRule="auto"/>
              <w:rPr>
                <w:rFonts w:hint="default" w:hAnsi="宋体"/>
                <w:color w:val="000000"/>
                <w:sz w:val="21"/>
                <w:szCs w:val="21"/>
                <w:lang w:val="en-US" w:eastAsia="zh-CN"/>
              </w:rPr>
            </w:pPr>
            <w:r>
              <w:rPr>
                <w:rFonts w:hint="eastAsia" w:hAnsi="宋体"/>
                <w:color w:val="000000"/>
                <w:sz w:val="21"/>
                <w:szCs w:val="21"/>
                <w:lang w:eastAsia="zh-CN"/>
              </w:rPr>
              <w:t>无安全事故发生；</w:t>
            </w:r>
            <w:r>
              <w:rPr>
                <w:rFonts w:hint="eastAsia" w:hAnsi="宋体"/>
                <w:color w:val="000000"/>
                <w:sz w:val="21"/>
                <w:szCs w:val="21"/>
                <w:lang w:val="en-US" w:eastAsia="zh-CN"/>
              </w:rPr>
              <w:t xml:space="preserve">           无</w:t>
            </w:r>
          </w:p>
          <w:p>
            <w:pPr>
              <w:numPr>
                <w:ilvl w:val="0"/>
                <w:numId w:val="0"/>
              </w:numPr>
              <w:autoSpaceDN w:val="0"/>
              <w:spacing w:line="240" w:lineRule="auto"/>
              <w:rPr>
                <w:rFonts w:hint="eastAsia" w:ascii="Wingdings" w:hAnsi="Wingdings"/>
              </w:rPr>
            </w:pPr>
            <w:r>
              <w:rPr>
                <w:rFonts w:hint="eastAsia" w:hAnsi="宋体"/>
                <w:color w:val="000000"/>
                <w:sz w:val="21"/>
                <w:szCs w:val="21"/>
                <w:lang w:eastAsia="zh-CN"/>
              </w:rPr>
              <w:t>职业伤害零发生。</w:t>
            </w:r>
            <w:r>
              <w:rPr>
                <w:rFonts w:hint="eastAsia" w:hAnsi="宋体"/>
                <w:color w:val="000000"/>
                <w:sz w:val="21"/>
                <w:szCs w:val="21"/>
                <w:lang w:val="en-US" w:eastAsia="zh-CN"/>
              </w:rPr>
              <w:t xml:space="preserve">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bookmarkStart w:id="34" w:name="_GoBack"/>
            <w:bookmarkEnd w:id="34"/>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34942D3A"/>
    <w:rsid w:val="35E9425D"/>
    <w:rsid w:val="593822B1"/>
    <w:rsid w:val="7F7373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next w:val="4"/>
    <w:qFormat/>
    <w:uiPriority w:val="0"/>
    <w:pPr>
      <w:spacing w:after="120" w:afterLines="0"/>
      <w:ind w:left="420" w:leftChars="200"/>
    </w:pPr>
  </w:style>
  <w:style w:type="paragraph" w:styleId="4">
    <w:name w:val="toc 3"/>
    <w:basedOn w:val="1"/>
    <w:next w:val="1"/>
    <w:unhideWhenUsed/>
    <w:qFormat/>
    <w:uiPriority w:val="39"/>
    <w:pPr>
      <w:spacing w:before="0" w:after="100" w:line="276" w:lineRule="auto"/>
      <w:ind w:left="440" w:firstLine="0" w:firstLineChars="0"/>
    </w:pPr>
    <w:rPr>
      <w:sz w:val="22"/>
      <w:szCs w:val="22"/>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3"/>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20042</Words>
  <Characters>21115</Characters>
  <Lines>150</Lines>
  <Paragraphs>42</Paragraphs>
  <TotalTime>7</TotalTime>
  <ScaleCrop>false</ScaleCrop>
  <LinksUpToDate>false</LinksUpToDate>
  <CharactersWithSpaces>24309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2022-06-02T12:36:05Z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