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0168-2022-EnMs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河北泽硕药业科技有限公司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sym w:font="Wingdings 2" w:char="00A3"/>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1"/>
      </w:pPr>
    </w:p>
    <w:p>
      <w:pPr>
        <w:pStyle w:val="11"/>
      </w:pPr>
    </w:p>
    <w:p>
      <w:pPr>
        <w:pStyle w:val="11"/>
      </w:pPr>
    </w:p>
    <w:p>
      <w:pPr>
        <w:pStyle w:val="11"/>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河北泽硕药业科技有限公司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新河县新安街西侧北环路西延南侧</w:t>
            </w:r>
            <w:bookmarkEnd w:id="5"/>
          </w:p>
        </w:tc>
        <w:tc>
          <w:tcPr>
            <w:tcW w:w="1242" w:type="dxa"/>
            <w:vMerge w:val="restart"/>
            <w:vAlign w:val="center"/>
          </w:tcPr>
          <w:p>
            <w:r>
              <w:rPr>
                <w:rFonts w:hint="eastAsia"/>
              </w:rPr>
              <w:t>邮编</w:t>
            </w:r>
          </w:p>
        </w:tc>
        <w:tc>
          <w:tcPr>
            <w:tcW w:w="1771" w:type="dxa"/>
          </w:tcPr>
          <w:p>
            <w:bookmarkStart w:id="6" w:name="注册邮编"/>
            <w:r>
              <w:t>051730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办公地址"/>
            <w:r>
              <w:t>新河县新安街西侧北环路西延南侧</w:t>
            </w:r>
            <w:bookmarkEnd w:id="7"/>
          </w:p>
        </w:tc>
        <w:tc>
          <w:tcPr>
            <w:tcW w:w="1242" w:type="dxa"/>
            <w:vMerge w:val="continue"/>
            <w:vAlign w:val="center"/>
          </w:tcPr>
          <w:p/>
        </w:tc>
        <w:tc>
          <w:tcPr>
            <w:tcW w:w="1771" w:type="dxa"/>
          </w:tcPr>
          <w:p>
            <w:bookmarkStart w:id="8" w:name="办公邮编"/>
            <w:r>
              <w:t>051730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崔晶晶</w:t>
            </w:r>
            <w:bookmarkEnd w:id="9"/>
          </w:p>
        </w:tc>
        <w:tc>
          <w:tcPr>
            <w:tcW w:w="1313" w:type="dxa"/>
            <w:vAlign w:val="center"/>
          </w:tcPr>
          <w:p>
            <w:r>
              <w:rPr>
                <w:rFonts w:hint="eastAsia"/>
              </w:rPr>
              <w:t>电话.</w:t>
            </w:r>
          </w:p>
        </w:tc>
        <w:tc>
          <w:tcPr>
            <w:tcW w:w="2180" w:type="dxa"/>
            <w:vAlign w:val="center"/>
          </w:tcPr>
          <w:p>
            <w:bookmarkStart w:id="10" w:name="联系人电话"/>
            <w:r>
              <w:t>18632938792</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张文雷</w:t>
            </w:r>
            <w:bookmarkEnd w:id="12"/>
          </w:p>
        </w:tc>
        <w:tc>
          <w:tcPr>
            <w:tcW w:w="1313" w:type="dxa"/>
            <w:vAlign w:val="center"/>
          </w:tcPr>
          <w:p>
            <w:r>
              <w:rPr>
                <w:rFonts w:hint="eastAsia"/>
              </w:rPr>
              <w:t>管理者代表</w:t>
            </w:r>
          </w:p>
        </w:tc>
        <w:tc>
          <w:tcPr>
            <w:tcW w:w="2180" w:type="dxa"/>
          </w:tcPr>
          <w:p>
            <w:bookmarkStart w:id="13" w:name="管理者代表"/>
            <w:r>
              <w:t>崔晶晶</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cyan"/>
              </w:rPr>
              <w:t>不是所有班次都被审核，</w:t>
            </w:r>
            <w:r>
              <w:rPr>
                <w:rFonts w:hint="eastAsia"/>
                <w:highlight w:val="cyan"/>
                <w:lang w:val="en-US" w:eastAsia="zh-CN"/>
              </w:rPr>
              <w:t>审</w:t>
            </w:r>
            <w:r>
              <w:rPr>
                <w:rFonts w:hint="eastAsia"/>
                <w:highlight w:val="cyan"/>
              </w:rPr>
              <w:t>核</w:t>
            </w:r>
            <w:r>
              <w:rPr>
                <w:rFonts w:hint="eastAsia"/>
                <w:highlight w:val="cyan"/>
                <w:lang w:val="en-US" w:eastAsia="zh-CN"/>
              </w:rPr>
              <w:t>中</w:t>
            </w:r>
            <w:r>
              <w:rPr>
                <w:rFonts w:hint="eastAsia"/>
                <w:highlight w:val="cyan"/>
              </w:rPr>
              <w:t>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苯氧乙酸工艺流程：</w:t>
            </w:r>
          </w:p>
          <w:p/>
          <w:p>
            <w:pPr>
              <w:pStyle w:val="11"/>
              <w:rPr>
                <w:rFonts w:hint="eastAsia"/>
                <w:sz w:val="28"/>
                <w:szCs w:val="28"/>
                <w:lang w:eastAsia="zh-CN"/>
              </w:rPr>
            </w:pPr>
            <w:r>
              <w:rPr>
                <w:rFonts w:hint="eastAsia"/>
                <w:sz w:val="28"/>
                <w:szCs w:val="28"/>
                <w:lang w:eastAsia="zh-CN"/>
              </w:rPr>
              <w:drawing>
                <wp:inline distT="0" distB="0" distL="114300" distR="114300">
                  <wp:extent cx="3600450" cy="2159635"/>
                  <wp:effectExtent l="0" t="0" r="6350" b="12065"/>
                  <wp:docPr id="28" name="图片 2" descr="微信图片_2021121213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微信图片_20211212135548"/>
                          <pic:cNvPicPr>
                            <a:picLocks noChangeAspect="1"/>
                          </pic:cNvPicPr>
                        </pic:nvPicPr>
                        <pic:blipFill>
                          <a:blip r:embed="rId6"/>
                          <a:stretch>
                            <a:fillRect/>
                          </a:stretch>
                        </pic:blipFill>
                        <pic:spPr>
                          <a:xfrm>
                            <a:off x="0" y="0"/>
                            <a:ext cx="3600450" cy="2159635"/>
                          </a:xfrm>
                          <a:prstGeom prst="rect">
                            <a:avLst/>
                          </a:prstGeom>
                          <a:noFill/>
                          <a:ln>
                            <a:noFill/>
                          </a:ln>
                        </pic:spPr>
                      </pic:pic>
                    </a:graphicData>
                  </a:graphic>
                </wp:inline>
              </w:drawing>
            </w:r>
          </w:p>
          <w:p>
            <w:pPr>
              <w:rPr>
                <w:color w:val="000000"/>
                <w:szCs w:val="18"/>
              </w:rPr>
            </w:pPr>
            <w:r>
              <w:rPr>
                <w:rFonts w:hint="eastAsia" w:ascii="宋体"/>
                <w:color w:val="000000"/>
                <w:szCs w:val="21"/>
                <w:lang w:val="en-US" w:eastAsia="zh-CN"/>
              </w:rPr>
              <w:t>左旋苯甘氨酸乙基邓钾盐生产工艺流程：</w:t>
            </w:r>
          </w:p>
          <w:p>
            <w:pPr>
              <w:pStyle w:val="11"/>
              <w:rPr>
                <w:rFonts w:hint="eastAsia"/>
                <w:sz w:val="28"/>
                <w:szCs w:val="28"/>
                <w:lang w:eastAsia="zh-CN"/>
              </w:rPr>
            </w:pPr>
            <w:r>
              <w:rPr>
                <w:rFonts w:hint="eastAsia"/>
                <w:sz w:val="28"/>
                <w:szCs w:val="28"/>
                <w:lang w:eastAsia="zh-CN"/>
              </w:rPr>
              <w:drawing>
                <wp:inline distT="0" distB="0" distL="114300" distR="114300">
                  <wp:extent cx="4803140" cy="1090295"/>
                  <wp:effectExtent l="0" t="0" r="10160" b="1905"/>
                  <wp:docPr id="29" name="图片 3" descr="微信图片_2021121213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descr="微信图片_20211212135553"/>
                          <pic:cNvPicPr>
                            <a:picLocks noChangeAspect="1"/>
                          </pic:cNvPicPr>
                        </pic:nvPicPr>
                        <pic:blipFill>
                          <a:blip r:embed="rId7"/>
                          <a:stretch>
                            <a:fillRect/>
                          </a:stretch>
                        </pic:blipFill>
                        <pic:spPr>
                          <a:xfrm>
                            <a:off x="0" y="0"/>
                            <a:ext cx="4803140" cy="1090295"/>
                          </a:xfrm>
                          <a:prstGeom prst="rect">
                            <a:avLst/>
                          </a:prstGeom>
                          <a:noFill/>
                          <a:ln>
                            <a:noFill/>
                          </a:ln>
                        </pic:spPr>
                      </pic:pic>
                    </a:graphicData>
                  </a:graphic>
                </wp:inline>
              </w:drawing>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
        <w:gridCol w:w="653"/>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2022年03月18日 上午至2022年03月20日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Times New Roman" w:hAnsi="Times New Roman" w:cs="Times New Roman"/>
              </w:rPr>
            </w:pPr>
            <w:r>
              <w:rPr>
                <w:rFonts w:hint="eastAsia"/>
                <w:lang w:val="de-DE"/>
              </w:rPr>
              <w:sym w:font="Wingdings 2" w:char="0052"/>
            </w:r>
            <w:r>
              <w:rPr>
                <w:rFonts w:hint="eastAsia" w:ascii="Times New Roman" w:hAnsi="Times New Roman" w:cs="Times New Roman"/>
                <w:lang w:eastAsia="zh-CN"/>
              </w:rPr>
              <w:t>RB</w:t>
            </w:r>
            <w:r>
              <w:rPr>
                <w:rFonts w:hint="eastAsia" w:ascii="Times New Roman" w:hAnsi="Times New Roman" w:cs="Times New Roman"/>
                <w:lang w:val="en-US" w:eastAsia="zh-CN"/>
              </w:rPr>
              <w:t>/</w:t>
            </w:r>
            <w:r>
              <w:rPr>
                <w:rFonts w:hint="eastAsia" w:ascii="Times New Roman" w:hAnsi="Times New Roman" w:cs="Times New Roman"/>
                <w:lang w:eastAsia="zh-CN"/>
              </w:rPr>
              <w:t>T 114-2014 《能源管理体系 纯碱、焦化、橡塑制品、制药等化工企业认证要求》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highlight w:val="none"/>
              </w:rPr>
              <w:sym w:font="Wingdings 2" w:char="0052"/>
            </w:r>
            <w:r>
              <w:rPr>
                <w:rFonts w:hint="eastAsia" w:ascii="宋体" w:hAnsi="宋体" w:cs="宋体"/>
                <w:color w:val="000000"/>
                <w:kern w:val="0"/>
                <w:szCs w:val="21"/>
                <w:highlight w:val="none"/>
              </w:rPr>
              <w:t>远程审核</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rPr>
              <w:sym w:font="Wingdings 2" w:char="00A3"/>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初审Add1"/>
            <w:r>
              <w:rPr>
                <w:rFonts w:hint="eastAsia"/>
              </w:rPr>
              <w:t>■</w:t>
            </w:r>
            <w:bookmarkEnd w:id="23"/>
            <w:r>
              <w:rPr>
                <w:rFonts w:hint="eastAsia"/>
              </w:rPr>
              <w:t>初审二阶段</w:t>
            </w:r>
            <w:bookmarkStart w:id="24" w:name="监督勾选"/>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r>
              <w:t>新河县新安街西侧北环路西延南侧</w:t>
            </w:r>
          </w:p>
          <w:p>
            <w:pPr>
              <w:rPr>
                <w:rFonts w:hint="default" w:ascii="宋体"/>
                <w:b/>
                <w:color w:val="0000FF"/>
                <w:szCs w:val="21"/>
                <w:lang w:val="en-US" w:eastAsia="zh-CN"/>
              </w:rPr>
            </w:pPr>
            <w:r>
              <w:rPr>
                <w:rFonts w:hint="eastAsia" w:ascii="宋体"/>
                <w:b/>
                <w:color w:val="0000FF"/>
                <w:szCs w:val="21"/>
                <w:lang w:val="en-US" w:eastAsia="zh-CN"/>
              </w:rPr>
              <w:t>深圳市罗湖区银湖蓝山公寓</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9" w:type="dxa"/>
            <w:vMerge w:val="restart"/>
            <w:vAlign w:val="center"/>
          </w:tcPr>
          <w:p>
            <w:r>
              <w:rPr>
                <w:rFonts w:hint="eastAsia"/>
              </w:rPr>
              <w:t>审核范围</w:t>
            </w:r>
          </w:p>
          <w:p/>
        </w:tc>
        <w:tc>
          <w:tcPr>
            <w:tcW w:w="5269" w:type="dxa"/>
            <w:gridSpan w:val="3"/>
            <w:vMerge w:val="restart"/>
            <w:vAlign w:val="center"/>
          </w:tcPr>
          <w:p>
            <w:pPr>
              <w:rPr>
                <w:rFonts w:hint="eastAsia" w:eastAsia="宋体"/>
                <w:lang w:eastAsia="zh-CN"/>
              </w:rPr>
            </w:pPr>
            <w:bookmarkStart w:id="28" w:name="审核范围"/>
            <w:r>
              <w:t>苯氧乙酸、左旋苯甘氨酸乙基邓钾盐的生产所涉及的能源管理</w:t>
            </w:r>
            <w:bookmarkEnd w:id="28"/>
            <w:r>
              <w:rPr>
                <w:rFonts w:hint="eastAsia"/>
                <w:lang w:val="en-US" w:eastAsia="zh-CN"/>
              </w:rPr>
              <w:t>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9" w:type="dxa"/>
            <w:vMerge w:val="continue"/>
            <w:vAlign w:val="center"/>
          </w:tcPr>
          <w:p/>
        </w:tc>
        <w:tc>
          <w:tcPr>
            <w:tcW w:w="5269" w:type="dxa"/>
            <w:gridSpan w:val="3"/>
            <w:vMerge w:val="continue"/>
            <w:vAlign w:val="center"/>
          </w:tcPr>
          <w:p/>
        </w:tc>
        <w:tc>
          <w:tcPr>
            <w:tcW w:w="3215" w:type="dxa"/>
            <w:vAlign w:val="center"/>
          </w:tcPr>
          <w:p>
            <w:bookmarkStart w:id="29" w:name="专业代码"/>
            <w:r>
              <w:t>2.3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41"/>
        <w:gridCol w:w="555"/>
        <w:gridCol w:w="2109"/>
        <w:gridCol w:w="1781"/>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41" w:type="dxa"/>
            <w:shd w:val="clear" w:color="auto" w:fill="F3F3F3"/>
            <w:tcMar>
              <w:left w:w="57" w:type="dxa"/>
              <w:right w:w="57" w:type="dxa"/>
            </w:tcMar>
          </w:tcPr>
          <w:p>
            <w:r>
              <w:rPr>
                <w:rFonts w:hint="eastAsia"/>
              </w:rPr>
              <w:t>经营场所的地址</w:t>
            </w:r>
          </w:p>
          <w:p>
            <w:r>
              <w:rPr>
                <w:rFonts w:hint="eastAsia"/>
              </w:rPr>
              <w:t>（多现场和临时现场）</w:t>
            </w:r>
          </w:p>
        </w:tc>
        <w:tc>
          <w:tcPr>
            <w:tcW w:w="555" w:type="dxa"/>
            <w:shd w:val="clear" w:color="auto" w:fill="F3F3F3"/>
            <w:tcMar>
              <w:left w:w="57" w:type="dxa"/>
              <w:right w:w="57" w:type="dxa"/>
            </w:tcMar>
          </w:tcPr>
          <w:p>
            <w:r>
              <w:rPr>
                <w:rFonts w:hint="eastAsia"/>
              </w:rPr>
              <w:t>员工人数</w:t>
            </w:r>
          </w:p>
        </w:tc>
        <w:tc>
          <w:tcPr>
            <w:tcW w:w="2109"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81" w:type="dxa"/>
            <w:shd w:val="clear" w:color="auto" w:fill="F3F3F3"/>
            <w:tcMar>
              <w:left w:w="57" w:type="dxa"/>
              <w:right w:w="57" w:type="dxa"/>
            </w:tcMar>
          </w:tcPr>
          <w:p>
            <w:r>
              <w:rPr>
                <w:rFonts w:hint="eastAsia"/>
              </w:rPr>
              <w:t>标准</w:t>
            </w:r>
          </w:p>
        </w:tc>
        <w:tc>
          <w:tcPr>
            <w:tcW w:w="592"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河北泽硕药业科技有限公司</w:t>
            </w:r>
            <w:r>
              <w:rPr>
                <w:rFonts w:hint="eastAsia"/>
                <w:lang w:val="en-US" w:eastAsia="zh-CN"/>
              </w:rPr>
              <w:t>/</w:t>
            </w:r>
            <w:r>
              <w:t>新河县新安街西侧北环路西延南侧</w:t>
            </w:r>
          </w:p>
        </w:tc>
        <w:tc>
          <w:tcPr>
            <w:tcW w:w="1941" w:type="dxa"/>
          </w:tcPr>
          <w:p>
            <w:pPr>
              <w:rPr>
                <w:lang w:val="de-DE" w:eastAsia="ja-JP"/>
              </w:rPr>
            </w:pPr>
            <w:r>
              <w:t>新河县新安街西侧北环路西延南侧</w:t>
            </w:r>
          </w:p>
        </w:tc>
        <w:tc>
          <w:tcPr>
            <w:tcW w:w="555" w:type="dxa"/>
            <w:vAlign w:val="center"/>
          </w:tcPr>
          <w:p>
            <w:pPr>
              <w:rPr>
                <w:rFonts w:hint="default" w:eastAsia="宋体"/>
                <w:lang w:val="en-US" w:eastAsia="zh-CN"/>
              </w:rPr>
            </w:pPr>
            <w:r>
              <w:rPr>
                <w:rFonts w:hint="eastAsia"/>
                <w:lang w:val="en-US" w:eastAsia="zh-CN"/>
              </w:rPr>
              <w:t>150</w:t>
            </w:r>
          </w:p>
        </w:tc>
        <w:tc>
          <w:tcPr>
            <w:tcW w:w="2109" w:type="dxa"/>
            <w:vAlign w:val="center"/>
          </w:tcPr>
          <w:p>
            <w:pPr>
              <w:rPr>
                <w:lang w:eastAsia="ja-JP"/>
              </w:rPr>
            </w:pPr>
            <w:r>
              <w:t>苯氧乙酸、左旋苯甘氨酸乙基邓钾盐的生产所涉及的能源管理</w:t>
            </w:r>
            <w:r>
              <w:rPr>
                <w:rFonts w:hint="eastAsia"/>
                <w:lang w:val="en-US" w:eastAsia="zh-CN"/>
              </w:rPr>
              <w:t>活动</w:t>
            </w:r>
          </w:p>
        </w:tc>
        <w:tc>
          <w:tcPr>
            <w:tcW w:w="1781" w:type="dxa"/>
            <w:vAlign w:val="center"/>
          </w:tcPr>
          <w:p>
            <w:pPr>
              <w:rPr>
                <w:rFonts w:hint="eastAsia"/>
                <w:lang w:val="en-US" w:eastAsia="zh-CN"/>
              </w:rPr>
            </w:pPr>
            <w:r>
              <w:rPr>
                <w:rFonts w:hint="eastAsia"/>
                <w:lang w:val="en-US" w:eastAsia="zh-CN"/>
              </w:rPr>
              <w:t>GB/T23331-2020</w:t>
            </w:r>
          </w:p>
          <w:p>
            <w:pPr>
              <w:pStyle w:val="2"/>
              <w:rPr>
                <w:rFonts w:hint="default"/>
                <w:lang w:val="en-US" w:eastAsia="zh-CN"/>
              </w:rPr>
            </w:pPr>
            <w:r>
              <w:rPr>
                <w:rFonts w:hint="eastAsia" w:ascii="Times New Roman" w:hAnsi="Times New Roman" w:cs="Times New Roman"/>
                <w:kern w:val="2"/>
                <w:sz w:val="21"/>
                <w:szCs w:val="24"/>
                <w:lang w:val="en-US" w:eastAsia="zh-CN" w:bidi="ar-SA"/>
              </w:rPr>
              <w:t>GB</w:t>
            </w:r>
            <w:r>
              <w:rPr>
                <w:rFonts w:hint="eastAsia" w:ascii="Times New Roman" w:hAnsi="Times New Roman" w:eastAsia="宋体" w:cs="Times New Roman"/>
                <w:kern w:val="2"/>
                <w:sz w:val="21"/>
                <w:szCs w:val="24"/>
                <w:lang w:val="en-US" w:eastAsia="zh-CN" w:bidi="ar-SA"/>
              </w:rPr>
              <w:t>/</w:t>
            </w:r>
            <w:r>
              <w:rPr>
                <w:rFonts w:hint="eastAsia" w:ascii="Times New Roman" w:hAnsi="Times New Roman" w:cs="Times New Roman"/>
                <w:kern w:val="2"/>
                <w:sz w:val="21"/>
                <w:szCs w:val="24"/>
                <w:lang w:val="en-US" w:eastAsia="zh-CN" w:bidi="ar-SA"/>
              </w:rPr>
              <w:t xml:space="preserve">T </w:t>
            </w:r>
            <w:r>
              <w:rPr>
                <w:rFonts w:hint="eastAsia" w:ascii="Times New Roman" w:hAnsi="Times New Roman" w:eastAsia="宋体" w:cs="Times New Roman"/>
                <w:kern w:val="2"/>
                <w:sz w:val="21"/>
                <w:szCs w:val="24"/>
                <w:lang w:val="en-US" w:eastAsia="zh-CN" w:bidi="ar-SA"/>
              </w:rPr>
              <w:t>114-201</w:t>
            </w:r>
            <w:r>
              <w:rPr>
                <w:rFonts w:hint="eastAsia" w:ascii="Times New Roman" w:hAnsi="Times New Roman" w:cs="Times New Roman"/>
                <w:kern w:val="2"/>
                <w:sz w:val="21"/>
                <w:szCs w:val="24"/>
                <w:lang w:val="en-US" w:eastAsia="zh-CN" w:bidi="ar-SA"/>
              </w:rPr>
              <w:t xml:space="preserve">4 </w:t>
            </w:r>
          </w:p>
        </w:tc>
        <w:tc>
          <w:tcPr>
            <w:tcW w:w="592"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941" w:type="dxa"/>
            <w:vAlign w:val="center"/>
          </w:tcPr>
          <w:p>
            <w:pPr>
              <w:rPr>
                <w:lang w:eastAsia="ja-JP"/>
              </w:rPr>
            </w:pPr>
          </w:p>
        </w:tc>
        <w:tc>
          <w:tcPr>
            <w:tcW w:w="555" w:type="dxa"/>
            <w:vAlign w:val="center"/>
          </w:tcPr>
          <w:p>
            <w:pPr>
              <w:rPr>
                <w:lang w:eastAsia="ja-JP"/>
              </w:rPr>
            </w:pPr>
          </w:p>
        </w:tc>
        <w:tc>
          <w:tcPr>
            <w:tcW w:w="2109" w:type="dxa"/>
            <w:vAlign w:val="center"/>
          </w:tcPr>
          <w:p>
            <w:pPr>
              <w:rPr>
                <w:lang w:eastAsia="ja-JP"/>
              </w:rPr>
            </w:pPr>
          </w:p>
        </w:tc>
        <w:tc>
          <w:tcPr>
            <w:tcW w:w="1781" w:type="dxa"/>
            <w:vAlign w:val="center"/>
          </w:tcPr>
          <w:p>
            <w:pPr>
              <w:rPr>
                <w:lang w:eastAsia="ja-JP"/>
              </w:rPr>
            </w:pPr>
          </w:p>
        </w:tc>
        <w:tc>
          <w:tcPr>
            <w:tcW w:w="5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41" w:type="dxa"/>
            <w:vAlign w:val="center"/>
          </w:tcPr>
          <w:p>
            <w:pPr>
              <w:rPr>
                <w:lang w:eastAsia="ja-JP"/>
              </w:rPr>
            </w:pPr>
          </w:p>
        </w:tc>
        <w:tc>
          <w:tcPr>
            <w:tcW w:w="555" w:type="dxa"/>
            <w:vAlign w:val="center"/>
          </w:tcPr>
          <w:p>
            <w:pPr>
              <w:rPr>
                <w:lang w:eastAsia="ja-JP"/>
              </w:rPr>
            </w:pPr>
          </w:p>
        </w:tc>
        <w:tc>
          <w:tcPr>
            <w:tcW w:w="2109" w:type="dxa"/>
            <w:vAlign w:val="center"/>
          </w:tcPr>
          <w:p>
            <w:pPr>
              <w:rPr>
                <w:lang w:eastAsia="ja-JP"/>
              </w:rPr>
            </w:pPr>
          </w:p>
        </w:tc>
        <w:tc>
          <w:tcPr>
            <w:tcW w:w="1781" w:type="dxa"/>
            <w:vAlign w:val="center"/>
          </w:tcPr>
          <w:p>
            <w:pPr>
              <w:rPr>
                <w:lang w:eastAsia="ja-JP"/>
              </w:rPr>
            </w:pPr>
          </w:p>
        </w:tc>
        <w:tc>
          <w:tcPr>
            <w:tcW w:w="5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41" w:type="dxa"/>
            <w:vAlign w:val="center"/>
          </w:tcPr>
          <w:p>
            <w:pPr>
              <w:rPr>
                <w:lang w:eastAsia="ja-JP"/>
              </w:rPr>
            </w:pPr>
          </w:p>
        </w:tc>
        <w:tc>
          <w:tcPr>
            <w:tcW w:w="555" w:type="dxa"/>
            <w:vAlign w:val="center"/>
          </w:tcPr>
          <w:p>
            <w:pPr>
              <w:rPr>
                <w:lang w:eastAsia="ja-JP"/>
              </w:rPr>
            </w:pPr>
          </w:p>
        </w:tc>
        <w:tc>
          <w:tcPr>
            <w:tcW w:w="2109" w:type="dxa"/>
            <w:vAlign w:val="center"/>
          </w:tcPr>
          <w:p>
            <w:pPr>
              <w:rPr>
                <w:lang w:eastAsia="ja-JP"/>
              </w:rPr>
            </w:pPr>
          </w:p>
        </w:tc>
        <w:tc>
          <w:tcPr>
            <w:tcW w:w="1781" w:type="dxa"/>
            <w:vAlign w:val="center"/>
          </w:tcPr>
          <w:p>
            <w:pPr>
              <w:rPr>
                <w:lang w:eastAsia="ja-JP"/>
              </w:rPr>
            </w:pPr>
          </w:p>
        </w:tc>
        <w:tc>
          <w:tcPr>
            <w:tcW w:w="5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41" w:type="dxa"/>
            <w:vAlign w:val="center"/>
          </w:tcPr>
          <w:p>
            <w:pPr>
              <w:rPr>
                <w:lang w:eastAsia="ja-JP"/>
              </w:rPr>
            </w:pPr>
          </w:p>
        </w:tc>
        <w:tc>
          <w:tcPr>
            <w:tcW w:w="555" w:type="dxa"/>
            <w:vAlign w:val="center"/>
          </w:tcPr>
          <w:p>
            <w:pPr>
              <w:rPr>
                <w:lang w:eastAsia="ja-JP"/>
              </w:rPr>
            </w:pPr>
          </w:p>
        </w:tc>
        <w:tc>
          <w:tcPr>
            <w:tcW w:w="2109" w:type="dxa"/>
            <w:vAlign w:val="center"/>
          </w:tcPr>
          <w:p>
            <w:pPr>
              <w:rPr>
                <w:lang w:eastAsia="ja-JP"/>
              </w:rPr>
            </w:pPr>
          </w:p>
        </w:tc>
        <w:tc>
          <w:tcPr>
            <w:tcW w:w="1781" w:type="dxa"/>
            <w:vAlign w:val="center"/>
          </w:tcPr>
          <w:p>
            <w:pPr>
              <w:rPr>
                <w:lang w:eastAsia="ja-JP"/>
              </w:rPr>
            </w:pPr>
          </w:p>
        </w:tc>
        <w:tc>
          <w:tcPr>
            <w:tcW w:w="592"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李丽英</w:t>
            </w:r>
            <w:r>
              <w:rPr>
                <w:rFonts w:hint="eastAsia"/>
                <w:lang w:eastAsia="zh-CN"/>
              </w:rPr>
              <w:t>（</w:t>
            </w:r>
            <w:r>
              <w:rPr>
                <w:rFonts w:hint="eastAsia"/>
                <w:lang w:val="en-US" w:eastAsia="zh-CN"/>
              </w:rPr>
              <w:t>A现场审核</w:t>
            </w:r>
            <w:r>
              <w:rPr>
                <w:rFonts w:hint="eastAsia"/>
                <w:lang w:eastAsia="zh-CN"/>
              </w:rPr>
              <w:t>）</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王宁敏</w:t>
            </w:r>
            <w:r>
              <w:rPr>
                <w:rFonts w:hint="eastAsia"/>
                <w:lang w:eastAsia="zh-CN"/>
              </w:rPr>
              <w:t>（</w:t>
            </w:r>
            <w:r>
              <w:rPr>
                <w:rFonts w:hint="eastAsia"/>
                <w:lang w:val="en-US" w:eastAsia="zh-CN"/>
              </w:rPr>
              <w:t>B远程审核</w:t>
            </w:r>
            <w:r>
              <w:rPr>
                <w:rFonts w:hint="eastAsia"/>
                <w:lang w:eastAsia="zh-CN"/>
              </w:rPr>
              <w:t>）</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-565785</wp:posOffset>
                  </wp:positionH>
                  <wp:positionV relativeFrom="paragraph">
                    <wp:posOffset>2453005</wp:posOffset>
                  </wp:positionV>
                  <wp:extent cx="747395" cy="297815"/>
                  <wp:effectExtent l="0" t="0" r="0" b="762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8"/>
                          <a:stretch>
                            <a:fillRect/>
                          </a:stretch>
                        </pic:blipFill>
                        <pic:spPr>
                          <a:xfrm>
                            <a:off x="0" y="0"/>
                            <a:ext cx="747395"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生产/服务过程</w:t>
            </w:r>
            <w:r>
              <w:rPr>
                <w:rFonts w:hint="eastAsia"/>
              </w:rPr>
              <w:sym w:font="Wingdings 2" w:char="00A3"/>
            </w:r>
            <w:r>
              <w:rPr>
                <w:rFonts w:hint="eastAsia"/>
              </w:rPr>
              <w:t>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b/>
                <w:bCs/>
                <w:lang w:val="en-GB" w:eastAsia="zh-CN"/>
              </w:rPr>
            </w:pPr>
            <w:r>
              <w:rPr>
                <w:rFonts w:hint="eastAsia" w:ascii="Times New Roman" w:hAnsi="Times New Roman" w:cs="Times New Roman"/>
                <w:lang w:val="en-GB" w:eastAsia="zh-CN"/>
              </w:rPr>
              <w:t>最高管理者制定了文件化的管理体系方针：</w:t>
            </w:r>
            <w:r>
              <w:rPr>
                <w:rFonts w:hint="eastAsia" w:ascii="Times New Roman" w:hAnsi="Times New Roman" w:cs="Times New Roman"/>
                <w:b/>
                <w:bCs/>
                <w:lang w:val="en-GB" w:eastAsia="zh-CN"/>
              </w:rPr>
              <w:t>安全第一、预防为主、污染预防、</w:t>
            </w:r>
            <w:r>
              <w:rPr>
                <w:rFonts w:hint="eastAsia" w:ascii="Times New Roman" w:hAnsi="Times New Roman" w:cs="Times New Roman"/>
                <w:b/>
                <w:bCs/>
                <w:lang w:val="en-US" w:eastAsia="zh-CN"/>
              </w:rPr>
              <w:t>低碳排放、</w:t>
            </w:r>
            <w:r>
              <w:rPr>
                <w:rFonts w:hint="eastAsia" w:ascii="Times New Roman" w:hAnsi="Times New Roman" w:cs="Times New Roman"/>
                <w:b/>
                <w:bCs/>
                <w:lang w:val="en-GB" w:eastAsia="zh-CN"/>
              </w:rPr>
              <w:t>质量为本、顾客满意</w:t>
            </w:r>
            <w:r>
              <w:rPr>
                <w:rFonts w:hint="eastAsia" w:ascii="Times New Roman" w:hAnsi="Times New Roman" w:cs="Times New Roman"/>
                <w:b/>
                <w:bCs/>
                <w:lang w:val="en-US" w:eastAsia="zh-CN"/>
              </w:rPr>
              <w:t>、节约能源、</w:t>
            </w:r>
            <w:r>
              <w:rPr>
                <w:rFonts w:hint="eastAsia" w:ascii="Times New Roman" w:hAnsi="Times New Roman" w:cs="Times New Roman"/>
                <w:b/>
                <w:bCs/>
                <w:lang w:val="en-GB" w:eastAsia="zh-CN"/>
              </w:rPr>
              <w:t xml:space="preserve">持续改进    </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val="en-US" w:eastAsia="zh-CN"/>
              </w:rPr>
              <w:t xml:space="preserve">办公室  </w:t>
            </w:r>
            <w:r>
              <w:rPr>
                <w:rFonts w:hint="eastAsia"/>
              </w:rPr>
              <w:sym w:font="Wingdings 2" w:char="0052"/>
            </w:r>
            <w:r>
              <w:rPr>
                <w:rFonts w:hint="eastAsia"/>
                <w:lang w:val="en-US" w:eastAsia="zh-CN"/>
              </w:rPr>
              <w:t>生产部——</w:t>
            </w:r>
            <w:r>
              <w:rPr>
                <w:rFonts w:hint="eastAsia"/>
              </w:rPr>
              <w:t>能源管理团队</w:t>
            </w:r>
          </w:p>
          <w:p>
            <w:pPr>
              <w:shd w:val="clear" w:color="auto" w:fill="EBF1DE" w:themeFill="accent3" w:themeFillTint="32"/>
              <w:rPr>
                <w:rFonts w:hint="eastAsia" w:eastAsia="宋体"/>
                <w:lang w:val="en-US" w:eastAsia="zh-CN"/>
              </w:rPr>
            </w:pPr>
            <w:r>
              <w:rPr>
                <w:rFonts w:hint="eastAsia"/>
              </w:rPr>
              <w:t>能源管理团队负责人是——</w:t>
            </w:r>
            <w:r>
              <w:rPr>
                <w:rFonts w:hint="eastAsia"/>
                <w:lang w:val="en-US" w:eastAsia="zh-CN"/>
              </w:rPr>
              <w:t>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法律法规的变化</w:t>
                  </w:r>
                </w:p>
              </w:tc>
              <w:tc>
                <w:tcPr>
                  <w:tcW w:w="3965" w:type="dxa"/>
                </w:tcPr>
                <w:p>
                  <w:pPr>
                    <w:shd w:val="clear" w:color="auto" w:fill="EBF1DE" w:themeFill="accent3" w:themeFillTint="32"/>
                    <w:rPr>
                      <w:rFonts w:hint="default" w:eastAsia="宋体"/>
                      <w:lang w:val="en-US" w:eastAsia="zh-CN"/>
                    </w:rPr>
                  </w:pPr>
                  <w:r>
                    <w:rPr>
                      <w:rFonts w:hint="eastAsia"/>
                      <w:lang w:val="en-US" w:eastAsia="zh-CN"/>
                    </w:rPr>
                    <w:t>及时更新掌握法律部法规的变化，进行合规性评价</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能源供应的中断</w:t>
                  </w:r>
                </w:p>
              </w:tc>
              <w:tc>
                <w:tcPr>
                  <w:tcW w:w="3965" w:type="dxa"/>
                </w:tcPr>
                <w:p>
                  <w:pPr>
                    <w:shd w:val="clear" w:color="auto" w:fill="EBF1DE" w:themeFill="accent3" w:themeFillTint="32"/>
                    <w:rPr>
                      <w:rFonts w:hint="default" w:eastAsia="宋体"/>
                      <w:lang w:val="en-US" w:eastAsia="zh-CN"/>
                    </w:rPr>
                  </w:pPr>
                  <w:r>
                    <w:rPr>
                      <w:rFonts w:hint="eastAsia"/>
                      <w:lang w:val="en-US" w:eastAsia="zh-CN"/>
                    </w:rPr>
                    <w:t>及时了解供方的生产经营情况，寻求备用能源</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能源结构的变化</w:t>
                  </w:r>
                </w:p>
              </w:tc>
              <w:tc>
                <w:tcPr>
                  <w:tcW w:w="3965" w:type="dxa"/>
                </w:tcPr>
                <w:p>
                  <w:pPr>
                    <w:shd w:val="clear" w:color="auto" w:fill="EBF1DE" w:themeFill="accent3" w:themeFillTint="32"/>
                    <w:rPr>
                      <w:rFonts w:hint="default" w:eastAsia="宋体"/>
                      <w:lang w:val="en-US" w:eastAsia="zh-CN"/>
                    </w:rPr>
                  </w:pPr>
                  <w:r>
                    <w:rPr>
                      <w:rFonts w:hint="eastAsia"/>
                      <w:lang w:val="en-US" w:eastAsia="zh-CN"/>
                    </w:rPr>
                    <w:t>了解新能源的优势，及时调整</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sym w:font="Wingdings 2" w:char="0052"/>
            </w:r>
            <w:r>
              <w:rPr>
                <w:rFonts w:hint="eastAsia"/>
              </w:rPr>
              <w:t>蒸汽</w:t>
            </w:r>
            <w:r>
              <w:rPr>
                <w:rFonts w:hint="eastAsia"/>
              </w:rPr>
              <w:sym w:font="Wingdings 2" w:char="00A3"/>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w:t>
            </w:r>
            <w:r>
              <w:rPr>
                <w:rFonts w:hint="eastAsia"/>
              </w:rPr>
              <w:sym w:font="Wingdings 2" w:char="0052"/>
            </w:r>
            <w:r>
              <w:rPr>
                <w:rFonts w:hint="eastAsia"/>
              </w:rPr>
              <w:t>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sym w:font="Wingdings 2" w:char="0052"/>
            </w:r>
            <w:r>
              <w:rPr>
                <w:rFonts w:hint="eastAsia"/>
              </w:rPr>
              <w:t>节能评估报告编号/日期：</w:t>
            </w:r>
            <w:r>
              <w:rPr>
                <w:rFonts w:hint="eastAsia"/>
                <w:lang w:val="en-US" w:eastAsia="zh-CN"/>
              </w:rPr>
              <w:t>2017年6月</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2022年2月</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eastAsia="宋体"/>
                      <w:lang w:val="en-US" w:eastAsia="zh-CN"/>
                    </w:rPr>
                  </w:pPr>
                  <w:r>
                    <w:rPr>
                      <w:rFonts w:hint="eastAsia"/>
                      <w:color w:val="000000"/>
                      <w:szCs w:val="18"/>
                      <w:highlight w:val="none"/>
                      <w:lang w:val="en-US" w:eastAsia="zh-CN"/>
                    </w:rPr>
                    <w:t>综合能耗2600 tce</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加强节能管理，控制工艺参数及相关变量的波动</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eastAsia="仿宋_GB2312" w:cs="Times New Roman"/>
                      <w:bCs/>
                      <w:kern w:val="2"/>
                      <w:sz w:val="21"/>
                      <w:szCs w:val="24"/>
                      <w:lang w:val="en-US" w:eastAsia="zh-CN" w:bidi="ar-SA"/>
                    </w:rPr>
                    <w:t>2545.86 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color w:val="000000"/>
                      <w:szCs w:val="18"/>
                      <w:highlight w:val="none"/>
                      <w:lang w:val="en-US" w:eastAsia="zh-CN"/>
                    </w:rPr>
                    <w:t>单位产品综合能耗1.5kgce/t</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lang w:val="en-US" w:eastAsia="zh-CN"/>
                    </w:rPr>
                    <w:t>加强节能管理，控制工艺参数及相关变量的波动，提高产品产量</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color w:val="000000"/>
                      <w:szCs w:val="18"/>
                      <w:highlight w:val="none"/>
                      <w:lang w:val="en-US" w:eastAsia="zh-CN"/>
                    </w:rPr>
                    <w:t>实际完成：</w:t>
                  </w:r>
                  <w:r>
                    <w:rPr>
                      <w:rFonts w:hint="eastAsia" w:eastAsia="仿宋_GB2312" w:cs="Times New Roman"/>
                      <w:bCs/>
                      <w:kern w:val="2"/>
                      <w:sz w:val="21"/>
                      <w:szCs w:val="24"/>
                      <w:lang w:val="en-US" w:eastAsia="zh-CN" w:bidi="ar-SA"/>
                    </w:rPr>
                    <w:t>1.4 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52"/>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val="en-US" w:eastAsia="zh-CN"/>
              </w:rPr>
              <w:t>占地</w:t>
            </w:r>
            <w:r>
              <w:rPr>
                <w:rFonts w:hint="eastAsia"/>
              </w:rPr>
              <w:t>面积</w:t>
            </w:r>
            <w:r>
              <w:rPr>
                <w:rFonts w:hint="eastAsia"/>
                <w:lang w:val="en-US" w:eastAsia="zh-CN"/>
              </w:rPr>
              <w:t>143亩</w:t>
            </w:r>
            <w:r>
              <w:rPr>
                <w:rFonts w:hint="eastAsia"/>
              </w:rPr>
              <w:t>；生产车间</w:t>
            </w:r>
            <w:r>
              <w:rPr>
                <w:rFonts w:hint="eastAsia"/>
                <w:lang w:val="en-US" w:eastAsia="zh-CN"/>
              </w:rPr>
              <w:t>5</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烘干机、离心机、压缩机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烘干机、离心机、压缩机</w:t>
            </w:r>
            <w:r>
              <w:rPr>
                <w:rFonts w:hint="eastAsia"/>
                <w:u w:val="single"/>
              </w:rPr>
              <w:t>（列举2~4种）</w:t>
            </w:r>
          </w:p>
          <w:p>
            <w:pPr>
              <w:shd w:val="clear" w:color="auto" w:fill="EBF1DE" w:themeFill="accent3" w:themeFillTint="32"/>
              <w:rPr>
                <w:highlight w:val="yellow"/>
              </w:rPr>
            </w:pPr>
            <w:r>
              <w:rPr>
                <w:rFonts w:hint="eastAsia"/>
              </w:rPr>
              <w:t>特种设备：</w:t>
            </w:r>
            <w:r>
              <w:rPr>
                <w:rFonts w:hint="eastAsia"/>
                <w:highlight w:val="none"/>
              </w:rPr>
              <w:sym w:font="Wingdings 2" w:char="0052"/>
            </w:r>
            <w:r>
              <w:rPr>
                <w:rFonts w:hint="eastAsia"/>
                <w:highlight w:val="none"/>
              </w:rPr>
              <w:t>叉车□行车□锅炉□电梯</w:t>
            </w:r>
          </w:p>
          <w:p>
            <w:pPr>
              <w:shd w:val="clear" w:color="auto" w:fill="EBF1DE" w:themeFill="accent3" w:themeFillTint="32"/>
            </w:pPr>
            <w:r>
              <w:rPr>
                <w:rFonts w:hint="eastAsia"/>
              </w:rPr>
              <w:t>辅助场所：</w:t>
            </w:r>
            <w:r>
              <w:rPr>
                <w:rFonts w:hint="eastAsia"/>
              </w:rPr>
              <w:sym w:font="Wingdings 2" w:char="0052"/>
            </w:r>
            <w:r>
              <w:rPr>
                <w:rFonts w:hint="eastAsia"/>
              </w:rPr>
              <w:t>高压配电室</w:t>
            </w:r>
            <w:r>
              <w:rPr>
                <w:rFonts w:hint="eastAsia"/>
              </w:rPr>
              <w:sym w:font="Wingdings 2" w:char="0052"/>
            </w:r>
            <w:r>
              <w:rPr>
                <w:rFonts w:hint="eastAsia"/>
              </w:rPr>
              <w:t>低压配电室</w:t>
            </w:r>
            <w:r>
              <w:rPr>
                <w:rFonts w:hint="eastAsia"/>
              </w:rPr>
              <w:sym w:font="Wingdings 2" w:char="0052"/>
            </w:r>
            <w:r>
              <w:rPr>
                <w:rFonts w:hint="eastAsia"/>
              </w:rPr>
              <w:t>空压站</w:t>
            </w:r>
            <w:r>
              <w:rPr>
                <w:rFonts w:hint="eastAsia"/>
              </w:rPr>
              <w:sym w:font="Wingdings 2" w:char="0052"/>
            </w:r>
            <w:r>
              <w:rPr>
                <w:rFonts w:hint="eastAsia"/>
              </w:rPr>
              <w:t>锅炉房</w:t>
            </w:r>
            <w:r>
              <w:rPr>
                <w:rFonts w:hint="eastAsia"/>
              </w:rPr>
              <w:sym w:font="Wingdings 2" w:char="0052"/>
            </w:r>
            <w:r>
              <w:rPr>
                <w:rFonts w:hint="eastAsia"/>
              </w:rPr>
              <w:t>食堂□其他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计量器具的测量溯源方法：□自校</w:t>
            </w:r>
            <w:r>
              <w:rPr>
                <w:rFonts w:hint="eastAsia"/>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蒸汽流量计、电表、水表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rPr>
              <w:sym w:font="Wingdings 2" w:char="00A3"/>
            </w:r>
            <w:r>
              <w:rPr>
                <w:rFonts w:hint="eastAsia"/>
              </w:rPr>
              <w:t>进行了定期校准/检定</w:t>
            </w:r>
            <w:r>
              <w:rPr>
                <w:rFonts w:hint="eastAsia"/>
              </w:rPr>
              <w:sym w:font="Wingdings 2" w:char="0052"/>
            </w:r>
            <w:r>
              <w:rPr>
                <w:rFonts w:hint="eastAsia"/>
              </w:rPr>
              <w:t>未进行定期校准/检定的有：</w:t>
            </w:r>
            <w:r>
              <w:rPr>
                <w:rFonts w:hint="eastAsia"/>
                <w:lang w:val="en-US" w:eastAsia="zh-CN"/>
              </w:rPr>
              <w:t>电表由供电部门负责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52"/>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工艺卡片</w:t>
            </w:r>
            <w:r>
              <w:rPr>
                <w:rFonts w:hint="eastAsia" w:ascii="Wingdings" w:hAnsi="Wingdings"/>
                <w:color w:val="auto"/>
                <w:lang w:eastAsia="zh-CN"/>
              </w:rPr>
              <w:t>□</w:t>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highlight w:val="none"/>
              </w:rPr>
              <w:t>设计和开发新产品/项目名称</w:t>
            </w:r>
            <w:r>
              <w:rPr>
                <w:rFonts w:hint="eastAsia"/>
              </w:rPr>
              <w:t>：</w:t>
            </w:r>
            <w:r>
              <w:rPr>
                <w:rFonts w:hint="eastAsia"/>
                <w:u w:val="single"/>
                <w:lang w:val="en-US" w:eastAsia="zh-CN"/>
              </w:rPr>
              <w:t>年产2000吨左旋对羟基苯甘氨酸研发</w:t>
            </w:r>
            <w:r>
              <w:rPr>
                <w:rFonts w:hint="eastAsia"/>
                <w:u w:val="single"/>
              </w:rPr>
              <w:t>（</w:t>
            </w:r>
            <w:r>
              <w:rPr>
                <w:rFonts w:hint="eastAsia"/>
              </w:rPr>
              <w:t>举1例）</w:t>
            </w:r>
          </w:p>
          <w:p>
            <w:pPr>
              <w:shd w:val="clear" w:color="auto" w:fill="EBF1DE" w:themeFill="accent3" w:themeFillTint="32"/>
            </w:pPr>
            <w:r>
              <w:rPr>
                <w:rFonts w:hint="eastAsia"/>
              </w:rPr>
              <w:t>对该设计和开发的项目</w:t>
            </w:r>
            <w:r>
              <w:rPr>
                <w:rFonts w:hint="eastAsia"/>
                <w:lang w:val="en-US" w:eastAsia="zh-CN"/>
              </w:rPr>
              <w:t>未</w:t>
            </w:r>
            <w:r>
              <w:rPr>
                <w:rFonts w:hint="eastAsia"/>
              </w:rPr>
              <w:t>进行节能评估，制订了相应的</w:t>
            </w:r>
            <w:r>
              <w:rPr>
                <w:rFonts w:hint="eastAsia"/>
                <w:lang w:val="en-US" w:eastAsia="zh-CN"/>
              </w:rPr>
              <w:t>节能</w:t>
            </w:r>
            <w:r>
              <w:rPr>
                <w:rFonts w:hint="eastAsia"/>
              </w:rPr>
              <w:t>控制措施。</w:t>
            </w:r>
          </w:p>
          <w:p>
            <w:pPr>
              <w:shd w:val="clear" w:color="auto" w:fill="EBF1DE" w:themeFill="accent3" w:themeFillTint="32"/>
            </w:pPr>
            <w:r>
              <w:rPr>
                <w:rFonts w:hint="eastAsia"/>
              </w:rPr>
              <w:t>设计和开发的节能措施控制：</w:t>
            </w:r>
            <w:r>
              <w:rPr>
                <w:rFonts w:hint="eastAsia"/>
                <w:lang w:val="en-US" w:eastAsia="zh-CN"/>
              </w:rPr>
              <w:t>采用薄膜蒸发替代原始的单效蒸发，蒸水从原来需求1吨水需要0.9-1吨生蒸汽，降低至0.7吨蒸汽，极大降低蒸汽消耗</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控制设备运行温度、压力</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控制燃烧效果</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使用高能效设备，调整负荷减少低负荷运行</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18</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3" w:name="_GoBack"/>
            <w:bookmarkEnd w:id="33"/>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1D6029"/>
    <w:rsid w:val="28F76DE6"/>
    <w:rsid w:val="40F43331"/>
    <w:rsid w:val="44EE43E8"/>
    <w:rsid w:val="61D1149B"/>
    <w:rsid w:val="69BF429A"/>
    <w:rsid w:val="741A223B"/>
    <w:rsid w:val="7F270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样式1"/>
    <w:next w:val="1"/>
    <w:qFormat/>
    <w:uiPriority w:val="0"/>
    <w:pPr>
      <w:spacing w:line="360" w:lineRule="auto"/>
    </w:pPr>
    <w:rPr>
      <w:rFonts w:ascii="Microsoft YaHei UI" w:hAnsi="Microsoft YaHei UI" w:eastAsia="宋体" w:cs="Microsoft YaHei UI"/>
      <w:b/>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2022-03-19T00:37:54Z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