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color w:val="auto"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3"/>
            <w:r>
              <w:rPr>
                <w:b/>
                <w:color w:val="auto"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color w:val="auto"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color w:val="auto"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6" w:name="初审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6"/>
            <w:r>
              <w:rPr>
                <w:rFonts w:hint="eastAsia"/>
                <w:b/>
                <w:color w:val="auto"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■</w:t>
            </w:r>
            <w:r>
              <w:rPr>
                <w:rFonts w:hint="eastAsia"/>
                <w:b/>
                <w:color w:val="auto"/>
                <w:szCs w:val="21"/>
              </w:rPr>
              <w:t xml:space="preserve">第( 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auto"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auto"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color w:val="auto"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auto"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color w:val="auto"/>
              </w:rPr>
              <w:t>重庆融威建材有限公司</w:t>
            </w:r>
            <w:bookmarkEnd w:id="11"/>
          </w:p>
        </w:tc>
        <w:tc>
          <w:tcPr>
            <w:tcW w:w="1290" w:type="dxa"/>
          </w:tcPr>
          <w:p>
            <w:pPr>
              <w:wordWrap w:val="0"/>
              <w:jc w:val="both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陪同人员</w:t>
            </w:r>
          </w:p>
        </w:tc>
        <w:tc>
          <w:tcPr>
            <w:tcW w:w="2071" w:type="dxa"/>
          </w:tcPr>
          <w:p>
            <w:pPr>
              <w:wordWrap w:val="0"/>
              <w:jc w:val="both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张晓霞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306" w:type="dxa"/>
          </w:tcPr>
          <w:p>
            <w:pPr>
              <w:wordWrap w:val="0"/>
              <w:jc w:val="both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default" w:ascii="方正仿宋简体" w:eastAsia="方正仿宋简体"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综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合部</w:t>
            </w:r>
          </w:p>
        </w:tc>
        <w:tc>
          <w:tcPr>
            <w:tcW w:w="1290" w:type="dxa"/>
          </w:tcPr>
          <w:p>
            <w:pPr>
              <w:wordWrap w:val="0"/>
              <w:jc w:val="both"/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wordWrap w:val="0"/>
              <w:jc w:val="both"/>
              <w:rPr>
                <w:rFonts w:hint="default" w:ascii="方正仿宋简体" w:hAnsi="Times New Roman" w:eastAsia="方正仿宋简体" w:cs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lang w:val="en-US" w:eastAsia="zh-CN"/>
              </w:rPr>
              <w:t>2022年3月13日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bookmarkStart w:id="16" w:name="_GoBack"/>
            <w:bookmarkEnd w:id="16"/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查公司应急管理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审核发现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综合部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办公区域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两只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灭火器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过期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不符合标准GB/T24001-2016的8.2a)通过策划的措施做好响应紧急情况的准备，以预防或减轻它所带来的不利环境影响；不符合标准GB/T 45001-2020的8.2a)针对紧急情况建立所策划的响应，包括提供急救。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8.2a)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8.2a)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B973F4"/>
    <w:rsid w:val="33C10A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2022-03-10T03:07:04Z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