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0152-2022-EO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重庆融威建材有限公司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重庆融威建材有限公司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重庆市九龙坡区含谷镇环球锦标建材交易市场B区11-6号</w:t>
            </w:r>
            <w:bookmarkEnd w:id="6"/>
          </w:p>
        </w:tc>
        <w:tc>
          <w:tcPr>
            <w:tcW w:w="1242" w:type="dxa"/>
            <w:vMerge w:val="restart"/>
            <w:vAlign w:val="center"/>
          </w:tcPr>
          <w:p>
            <w:r>
              <w:rPr>
                <w:rFonts w:hint="eastAsia"/>
              </w:rPr>
              <w:t>邮编</w:t>
            </w:r>
          </w:p>
        </w:tc>
        <w:tc>
          <w:tcPr>
            <w:tcW w:w="1771" w:type="dxa"/>
          </w:tcPr>
          <w:p>
            <w:bookmarkStart w:id="7" w:name="注册邮编"/>
            <w:r>
              <w:t>401329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重庆市走马镇走马建材交易市场15厅10号</w:t>
            </w:r>
            <w:bookmarkEnd w:id="8"/>
          </w:p>
        </w:tc>
        <w:tc>
          <w:tcPr>
            <w:tcW w:w="1242" w:type="dxa"/>
            <w:vMerge w:val="continue"/>
            <w:vAlign w:val="center"/>
          </w:tcPr>
          <w:p/>
        </w:tc>
        <w:tc>
          <w:tcPr>
            <w:tcW w:w="1771" w:type="dxa"/>
          </w:tcPr>
          <w:p>
            <w:bookmarkStart w:id="9" w:name="办公邮编"/>
            <w:r>
              <w:t>401329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徐善春</w:t>
            </w:r>
            <w:bookmarkEnd w:id="10"/>
          </w:p>
        </w:tc>
        <w:tc>
          <w:tcPr>
            <w:tcW w:w="1313" w:type="dxa"/>
            <w:vAlign w:val="center"/>
          </w:tcPr>
          <w:p>
            <w:r>
              <w:rPr>
                <w:rFonts w:hint="eastAsia"/>
              </w:rPr>
              <w:t>电话.</w:t>
            </w:r>
          </w:p>
        </w:tc>
        <w:tc>
          <w:tcPr>
            <w:tcW w:w="2180" w:type="dxa"/>
            <w:vAlign w:val="center"/>
          </w:tcPr>
          <w:p>
            <w:bookmarkStart w:id="11" w:name="联系人电话"/>
            <w:r>
              <w:t>15902305979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徐敏玲</w:t>
            </w:r>
            <w:bookmarkEnd w:id="13"/>
          </w:p>
        </w:tc>
        <w:tc>
          <w:tcPr>
            <w:tcW w:w="1313" w:type="dxa"/>
            <w:vAlign w:val="center"/>
          </w:tcPr>
          <w:p>
            <w:r>
              <w:rPr>
                <w:rFonts w:hint="eastAsia"/>
              </w:rPr>
              <w:t>管理者代表</w:t>
            </w:r>
          </w:p>
        </w:tc>
        <w:tc>
          <w:tcPr>
            <w:tcW w:w="2180" w:type="dxa"/>
          </w:tcPr>
          <w:p>
            <w:bookmarkStart w:id="14" w:name="管理者代表"/>
            <w:r>
              <w:t>徐善春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2385"/>
              </w:tabs>
              <w:spacing w:line="360" w:lineRule="auto"/>
              <w:rPr>
                <w:rFonts w:hint="eastAsia" w:ascii="宋体" w:hAnsi="宋体"/>
                <w:color w:val="000000"/>
                <w:szCs w:val="21"/>
                <w:lang w:val="en-US" w:eastAsia="zh-CN"/>
              </w:rPr>
            </w:pPr>
            <w:r>
              <w:rPr>
                <w:rFonts w:hint="eastAsia" w:ascii="宋体" w:hAnsi="宋体"/>
                <w:color w:val="000000"/>
                <w:szCs w:val="21"/>
              </w:rPr>
              <w:t>服务提供流程</w:t>
            </w:r>
            <w:r>
              <w:rPr>
                <w:rFonts w:hint="eastAsia" w:ascii="宋体" w:hAnsi="宋体"/>
                <w:color w:val="000000"/>
                <w:szCs w:val="21"/>
                <w:lang w:val="en-US" w:eastAsia="zh-CN"/>
              </w:rPr>
              <w:t>:</w:t>
            </w:r>
          </w:p>
          <w:p>
            <w:pPr>
              <w:tabs>
                <w:tab w:val="left" w:pos="2385"/>
              </w:tabs>
              <w:spacing w:line="360" w:lineRule="auto"/>
              <w:rPr>
                <w:rFonts w:ascii="宋体" w:hAnsi="宋体"/>
                <w:bCs/>
              </w:rPr>
            </w:pPr>
            <w:r>
              <w:rPr>
                <w:rFonts w:hint="eastAsia" w:ascii="宋体" w:hAnsi="宋体"/>
                <w:bCs/>
              </w:rPr>
              <w:t>联系客户—业务洽谈—合同签订—采购产品—检验—产品销售—客户签收—售后服务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2022年03月10日 上午至2022年03月10日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w:t>
            </w:r>
            <w:r>
              <w:rPr>
                <w:rFonts w:hint="eastAsia" w:ascii="宋体" w:hAnsi="宋体" w:eastAsia="宋体" w:cs="宋体"/>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重庆市走马镇走马建材交易市场15厅10号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E：石材销售所涉及场所的相关环境管理活动</w:t>
            </w:r>
          </w:p>
          <w:p>
            <w:r>
              <w:t>O：石材销售所涉及场所的相关职业健康安全管理活动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E：29.11.03</w:t>
            </w:r>
          </w:p>
          <w:p>
            <w:r>
              <w:t>O：29.11.03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2021年 09月01日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91"/>
        <w:gridCol w:w="1730"/>
        <w:gridCol w:w="580"/>
        <w:gridCol w:w="2020"/>
        <w:gridCol w:w="145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791" w:type="dxa"/>
            <w:shd w:val="clear" w:color="auto" w:fill="F3F3F3"/>
            <w:tcMar>
              <w:left w:w="57" w:type="dxa"/>
              <w:right w:w="57" w:type="dxa"/>
            </w:tcMar>
          </w:tcPr>
          <w:p>
            <w:r>
              <w:rPr>
                <w:rFonts w:hint="eastAsia"/>
              </w:rPr>
              <w:t>组织名称及注册场所地址</w:t>
            </w:r>
          </w:p>
        </w:tc>
        <w:tc>
          <w:tcPr>
            <w:tcW w:w="1730" w:type="dxa"/>
            <w:shd w:val="clear" w:color="auto" w:fill="F3F3F3"/>
            <w:tcMar>
              <w:left w:w="57" w:type="dxa"/>
              <w:right w:w="57" w:type="dxa"/>
            </w:tcMar>
          </w:tcPr>
          <w:p>
            <w:r>
              <w:rPr>
                <w:rFonts w:hint="eastAsia"/>
              </w:rPr>
              <w:t>经营场所的地址</w:t>
            </w:r>
          </w:p>
          <w:p>
            <w:r>
              <w:rPr>
                <w:rFonts w:hint="eastAsia"/>
              </w:rPr>
              <w:t>（多现场和临时现场）</w:t>
            </w:r>
          </w:p>
        </w:tc>
        <w:tc>
          <w:tcPr>
            <w:tcW w:w="580" w:type="dxa"/>
            <w:shd w:val="clear" w:color="auto" w:fill="F3F3F3"/>
            <w:tcMar>
              <w:left w:w="57" w:type="dxa"/>
              <w:right w:w="57" w:type="dxa"/>
            </w:tcMar>
          </w:tcPr>
          <w:p>
            <w:r>
              <w:rPr>
                <w:rFonts w:hint="eastAsia"/>
              </w:rPr>
              <w:t>员工人数</w:t>
            </w:r>
          </w:p>
        </w:tc>
        <w:tc>
          <w:tcPr>
            <w:tcW w:w="2020" w:type="dxa"/>
            <w:shd w:val="clear" w:color="auto" w:fill="F3F3F3"/>
            <w:tcMar>
              <w:left w:w="57" w:type="dxa"/>
              <w:right w:w="57" w:type="dxa"/>
            </w:tcMar>
          </w:tcPr>
          <w:p>
            <w:r>
              <w:rPr>
                <w:rFonts w:hint="eastAsia"/>
              </w:rPr>
              <w:t>审核范围（产品和过程）</w:t>
            </w:r>
          </w:p>
          <w:p/>
          <w:p/>
        </w:tc>
        <w:tc>
          <w:tcPr>
            <w:tcW w:w="145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791" w:type="dxa"/>
          </w:tcPr>
          <w:p>
            <w:pPr>
              <w:rPr>
                <w:rFonts w:hint="eastAsia" w:eastAsia="宋体"/>
                <w:lang w:val="en-US" w:eastAsia="zh-CN"/>
              </w:rPr>
            </w:pPr>
            <w:r>
              <w:rPr>
                <w:sz w:val="21"/>
                <w:szCs w:val="21"/>
              </w:rPr>
              <w:t>重庆融威建材有限公司</w:t>
            </w:r>
            <w:r>
              <w:rPr>
                <w:rFonts w:hint="eastAsia"/>
                <w:sz w:val="21"/>
                <w:szCs w:val="21"/>
                <w:lang w:val="en-US" w:eastAsia="zh-CN"/>
              </w:rPr>
              <w:t>/</w:t>
            </w:r>
            <w:r>
              <w:rPr>
                <w:rFonts w:asciiTheme="minorEastAsia" w:hAnsiTheme="minorEastAsia" w:eastAsiaTheme="minorEastAsia"/>
                <w:sz w:val="20"/>
              </w:rPr>
              <w:t>重庆市九龙坡区含谷镇环球锦标建材交易市场B区11-6号</w:t>
            </w:r>
          </w:p>
        </w:tc>
        <w:tc>
          <w:tcPr>
            <w:tcW w:w="1730" w:type="dxa"/>
          </w:tcPr>
          <w:p>
            <w:pPr>
              <w:rPr>
                <w:lang w:val="de-DE" w:eastAsia="ja-JP"/>
              </w:rPr>
            </w:pPr>
            <w:r>
              <w:rPr>
                <w:rFonts w:asciiTheme="minorEastAsia" w:hAnsiTheme="minorEastAsia" w:eastAsiaTheme="minorEastAsia"/>
                <w:sz w:val="20"/>
              </w:rPr>
              <w:t>重庆市走马镇走马建材交易市场15厅10号</w:t>
            </w:r>
          </w:p>
        </w:tc>
        <w:tc>
          <w:tcPr>
            <w:tcW w:w="580" w:type="dxa"/>
            <w:vAlign w:val="center"/>
          </w:tcPr>
          <w:p>
            <w:pPr>
              <w:rPr>
                <w:rFonts w:hint="default" w:eastAsia="宋体"/>
                <w:lang w:val="en-US" w:eastAsia="zh-CN"/>
              </w:rPr>
            </w:pPr>
            <w:r>
              <w:rPr>
                <w:rFonts w:hint="eastAsia"/>
                <w:lang w:val="en-US" w:eastAsia="zh-CN"/>
              </w:rPr>
              <w:t>15</w:t>
            </w:r>
          </w:p>
        </w:tc>
        <w:tc>
          <w:tcPr>
            <w:tcW w:w="2020" w:type="dxa"/>
            <w:vAlign w:val="center"/>
          </w:tcPr>
          <w:p>
            <w:pPr>
              <w:rPr>
                <w:lang w:eastAsia="ja-JP"/>
              </w:rPr>
            </w:pPr>
            <w:r>
              <w:rPr>
                <w:sz w:val="20"/>
              </w:rPr>
              <w:t>石材销售所涉及场所的相关环境管理活动</w:t>
            </w:r>
          </w:p>
        </w:tc>
        <w:tc>
          <w:tcPr>
            <w:tcW w:w="1456" w:type="dxa"/>
            <w:vAlign w:val="top"/>
          </w:tcPr>
          <w:p>
            <w:pPr>
              <w:spacing w:before="40" w:after="40"/>
              <w:rPr>
                <w:rFonts w:hint="eastAsia" w:ascii="宋体" w:hAnsi="宋体"/>
                <w:b w:val="0"/>
                <w:bCs/>
                <w:szCs w:val="21"/>
              </w:rPr>
            </w:pPr>
            <w:r>
              <w:rPr>
                <w:rFonts w:hint="eastAsia" w:ascii="宋体" w:hAnsi="宋体"/>
                <w:b w:val="0"/>
                <w:bCs/>
                <w:szCs w:val="21"/>
              </w:rPr>
              <w:t>GB/T24001-2016</w:t>
            </w:r>
          </w:p>
          <w:p>
            <w:pPr>
              <w:rPr>
                <w:rFonts w:ascii="Times New Roman" w:hAnsi="Times New Roman" w:eastAsia="宋体" w:cs="Times New Roman"/>
                <w:kern w:val="2"/>
                <w:sz w:val="21"/>
                <w:szCs w:val="24"/>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791" w:type="dxa"/>
            <w:vAlign w:val="top"/>
          </w:tcPr>
          <w:p>
            <w:pPr>
              <w:rPr>
                <w:rFonts w:hint="eastAsia" w:ascii="Times New Roman" w:hAnsi="Times New Roman" w:eastAsia="宋体" w:cs="Times New Roman"/>
                <w:kern w:val="2"/>
                <w:sz w:val="21"/>
                <w:szCs w:val="24"/>
                <w:lang w:val="en-US" w:eastAsia="ja-JP" w:bidi="ar-SA"/>
              </w:rPr>
            </w:pPr>
            <w:r>
              <w:rPr>
                <w:sz w:val="21"/>
                <w:szCs w:val="21"/>
              </w:rPr>
              <w:t>重庆融威建材有限公司</w:t>
            </w:r>
            <w:r>
              <w:rPr>
                <w:rFonts w:hint="eastAsia"/>
                <w:sz w:val="21"/>
                <w:szCs w:val="21"/>
                <w:lang w:val="en-US" w:eastAsia="zh-CN"/>
              </w:rPr>
              <w:t>/</w:t>
            </w:r>
            <w:r>
              <w:rPr>
                <w:rFonts w:asciiTheme="minorEastAsia" w:hAnsiTheme="minorEastAsia" w:eastAsiaTheme="minorEastAsia"/>
                <w:sz w:val="20"/>
              </w:rPr>
              <w:t>重庆市九龙坡区含谷镇环球锦标建材交易市场B区11-6号</w:t>
            </w:r>
          </w:p>
        </w:tc>
        <w:tc>
          <w:tcPr>
            <w:tcW w:w="1730"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重庆市走马镇走马建材交易市场15厅10号</w:t>
            </w:r>
          </w:p>
        </w:tc>
        <w:tc>
          <w:tcPr>
            <w:tcW w:w="58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15</w:t>
            </w:r>
          </w:p>
        </w:tc>
        <w:tc>
          <w:tcPr>
            <w:tcW w:w="2020" w:type="dxa"/>
            <w:vAlign w:val="center"/>
          </w:tcPr>
          <w:p>
            <w:pPr>
              <w:rPr>
                <w:lang w:eastAsia="ja-JP"/>
              </w:rPr>
            </w:pPr>
            <w:r>
              <w:rPr>
                <w:sz w:val="20"/>
              </w:rPr>
              <w:t>石材销售所涉及场所的相关职业健康安全管理活动</w:t>
            </w:r>
          </w:p>
        </w:tc>
        <w:tc>
          <w:tcPr>
            <w:tcW w:w="1456"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791" w:type="dxa"/>
            <w:vAlign w:val="center"/>
          </w:tcPr>
          <w:p>
            <w:pPr>
              <w:rPr>
                <w:lang w:eastAsia="ja-JP"/>
              </w:rPr>
            </w:pPr>
          </w:p>
        </w:tc>
        <w:tc>
          <w:tcPr>
            <w:tcW w:w="1730" w:type="dxa"/>
            <w:vAlign w:val="center"/>
          </w:tcPr>
          <w:p>
            <w:pPr>
              <w:rPr>
                <w:lang w:eastAsia="ja-JP"/>
              </w:rPr>
            </w:pPr>
          </w:p>
        </w:tc>
        <w:tc>
          <w:tcPr>
            <w:tcW w:w="580" w:type="dxa"/>
            <w:vAlign w:val="center"/>
          </w:tcPr>
          <w:p>
            <w:pPr>
              <w:rPr>
                <w:lang w:eastAsia="ja-JP"/>
              </w:rPr>
            </w:pPr>
          </w:p>
        </w:tc>
        <w:tc>
          <w:tcPr>
            <w:tcW w:w="2020" w:type="dxa"/>
            <w:vAlign w:val="center"/>
          </w:tcPr>
          <w:p>
            <w:pPr>
              <w:rPr>
                <w:lang w:eastAsia="ja-JP"/>
              </w:rPr>
            </w:pPr>
          </w:p>
        </w:tc>
        <w:tc>
          <w:tcPr>
            <w:tcW w:w="14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791" w:type="dxa"/>
            <w:vAlign w:val="center"/>
          </w:tcPr>
          <w:p>
            <w:pPr>
              <w:rPr>
                <w:lang w:eastAsia="ja-JP"/>
              </w:rPr>
            </w:pPr>
          </w:p>
        </w:tc>
        <w:tc>
          <w:tcPr>
            <w:tcW w:w="1730" w:type="dxa"/>
            <w:vAlign w:val="center"/>
          </w:tcPr>
          <w:p>
            <w:pPr>
              <w:rPr>
                <w:lang w:eastAsia="ja-JP"/>
              </w:rPr>
            </w:pPr>
          </w:p>
        </w:tc>
        <w:tc>
          <w:tcPr>
            <w:tcW w:w="580" w:type="dxa"/>
            <w:vAlign w:val="center"/>
          </w:tcPr>
          <w:p>
            <w:pPr>
              <w:rPr>
                <w:lang w:eastAsia="ja-JP"/>
              </w:rPr>
            </w:pPr>
          </w:p>
        </w:tc>
        <w:tc>
          <w:tcPr>
            <w:tcW w:w="2020" w:type="dxa"/>
            <w:vAlign w:val="center"/>
          </w:tcPr>
          <w:p>
            <w:pPr>
              <w:rPr>
                <w:lang w:eastAsia="ja-JP"/>
              </w:rPr>
            </w:pPr>
          </w:p>
        </w:tc>
        <w:tc>
          <w:tcPr>
            <w:tcW w:w="14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791" w:type="dxa"/>
            <w:vAlign w:val="center"/>
          </w:tcPr>
          <w:p>
            <w:pPr>
              <w:rPr>
                <w:lang w:eastAsia="ja-JP"/>
              </w:rPr>
            </w:pPr>
          </w:p>
        </w:tc>
        <w:tc>
          <w:tcPr>
            <w:tcW w:w="1730" w:type="dxa"/>
            <w:vAlign w:val="center"/>
          </w:tcPr>
          <w:p>
            <w:pPr>
              <w:rPr>
                <w:lang w:eastAsia="ja-JP"/>
              </w:rPr>
            </w:pPr>
          </w:p>
        </w:tc>
        <w:tc>
          <w:tcPr>
            <w:tcW w:w="580" w:type="dxa"/>
            <w:vAlign w:val="center"/>
          </w:tcPr>
          <w:p>
            <w:pPr>
              <w:rPr>
                <w:lang w:eastAsia="ja-JP"/>
              </w:rPr>
            </w:pPr>
          </w:p>
        </w:tc>
        <w:tc>
          <w:tcPr>
            <w:tcW w:w="2020" w:type="dxa"/>
            <w:vAlign w:val="center"/>
          </w:tcPr>
          <w:p>
            <w:pPr>
              <w:rPr>
                <w:lang w:eastAsia="ja-JP"/>
              </w:rPr>
            </w:pPr>
          </w:p>
        </w:tc>
        <w:tc>
          <w:tcPr>
            <w:tcW w:w="145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cs="Times New Roman"/>
                <w:kern w:val="2"/>
                <w:sz w:val="21"/>
                <w:szCs w:val="24"/>
                <w:lang w:val="en-US" w:eastAsia="zh-CN" w:bidi="ar-SA"/>
              </w:rPr>
              <w:t>不适用</w:t>
            </w:r>
          </w:p>
        </w:tc>
      </w:tr>
    </w:tbl>
    <w:p/>
    <w:p>
      <w:r>
        <w:rPr>
          <w:rFonts w:hint="eastAsia"/>
        </w:rPr>
        <w:t>八、已识别出的任何未解决的问题：</w:t>
      </w:r>
    </w:p>
    <w:p>
      <w:r>
        <w:rPr>
          <w:rFonts w:hint="eastAsia" w:ascii="宋体" w:hAnsi="宋体" w:eastAsia="宋体" w:cs="宋体"/>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石材销售所涉及场所的相关环境管理活动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石材销售所涉及场所的相关职业健康安全管理活动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cs="宋体" w:eastAsiaTheme="minorEastAsia"/>
                <w:sz w:val="24"/>
                <w:lang w:eastAsia="zh-CN"/>
              </w:rPr>
              <w:drawing>
                <wp:anchor distT="0" distB="0" distL="114300" distR="114300" simplePos="0" relativeHeight="251661312" behindDoc="0" locked="0" layoutInCell="1" allowOverlap="1">
                  <wp:simplePos x="0" y="0"/>
                  <wp:positionH relativeFrom="column">
                    <wp:posOffset>220980</wp:posOffset>
                  </wp:positionH>
                  <wp:positionV relativeFrom="paragraph">
                    <wp:posOffset>27305</wp:posOffset>
                  </wp:positionV>
                  <wp:extent cx="696595" cy="351155"/>
                  <wp:effectExtent l="0" t="0" r="1905" b="444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2022年03月10日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ascii="宋体" w:hAnsi="宋体" w:eastAsia="宋体" w:cs="宋体"/>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□工艺</w:t>
                  </w:r>
                  <w:r>
                    <w:rPr>
                      <w:rFonts w:hint="eastAsia"/>
                    </w:rPr>
                    <w:t xml:space="preserve">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eastAsia="宋体"/>
                      <w:lang w:eastAsia="zh-CN"/>
                    </w:rPr>
                  </w:pPr>
                  <w:r>
                    <w:rPr>
                      <w:rFonts w:hint="eastAsia"/>
                      <w:lang w:eastAsia="zh-CN"/>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rPr>
              <w:t>已将环境管理体系要求融入到其各项业务过程中，包括</w:t>
            </w:r>
            <w:r>
              <w:rPr>
                <w:rFonts w:hint="eastAsia"/>
                <w:highlight w:val="none"/>
              </w:rPr>
              <w:t>：</w:t>
            </w:r>
          </w:p>
          <w:p>
            <w:pPr>
              <w:shd w:val="clear" w:color="auto" w:fill="EBF1DE" w:themeFill="accent3" w:themeFillTint="32"/>
              <w:spacing w:before="40" w:after="40"/>
              <w:rPr>
                <w:highlight w:val="none"/>
              </w:rPr>
            </w:pP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□生产 □检验 </w:t>
            </w:r>
            <w:r>
              <w:rPr>
                <w:rFonts w:hint="eastAsia" w:ascii="宋体" w:hAnsi="宋体" w:cs="宋体"/>
                <w:highlight w:val="none"/>
                <w:lang w:eastAsia="zh-CN"/>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“诚信至上，质量为主，优质高效；节能降耗，防治污染，保护环境；安全第一，保障健康，减少风险；全员参与，遵守法规，持续改进。”</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rPr>
                    <w:t>主要的风险或机遇描述</w:t>
                  </w:r>
                </w:p>
              </w:tc>
              <w:tc>
                <w:tcPr>
                  <w:tcW w:w="43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固体废弃物</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lang w:val="en-US" w:eastAsia="zh-CN"/>
                    </w:rPr>
                  </w:pPr>
                </w:p>
              </w:tc>
              <w:tc>
                <w:tcPr>
                  <w:tcW w:w="439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p>
              </w:tc>
              <w:tc>
                <w:tcPr>
                  <w:tcW w:w="43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ascii="Times New Roman" w:hAnsi="Times New Roman" w:eastAsia="宋体" w:cs="Times New Roman"/>
                <w:kern w:val="2"/>
                <w:sz w:val="21"/>
                <w:szCs w:val="24"/>
                <w:highlight w:val="cyan"/>
                <w:lang w:val="en-US" w:eastAsia="zh-CN" w:bidi="ar-SA"/>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火灾事故为0</w:t>
                  </w:r>
                </w:p>
              </w:tc>
              <w:tc>
                <w:tcPr>
                  <w:tcW w:w="3290"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eastAsia="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固体废弃物处置率</w:t>
                  </w:r>
                  <w:r>
                    <w:rPr>
                      <w:rFonts w:ascii="宋体" w:hAnsi="宋体"/>
                      <w:szCs w:val="21"/>
                    </w:rPr>
                    <w:t>100%</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290" w:type="dxa"/>
                  <w:shd w:val="clear" w:color="auto" w:fill="auto"/>
                  <w:vAlign w:val="center"/>
                </w:tcPr>
                <w:p>
                  <w:pPr>
                    <w:shd w:val="clear" w:color="auto" w:fill="EBF1DE" w:themeFill="accent3" w:themeFillTint="32"/>
                    <w:rPr>
                      <w:rFonts w:ascii="宋体" w:hAnsi="宋体"/>
                      <w:highlight w:val="none"/>
                    </w:rPr>
                  </w:pPr>
                </w:p>
              </w:tc>
              <w:tc>
                <w:tcPr>
                  <w:tcW w:w="119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290" w:type="dxa"/>
                  <w:shd w:val="clear" w:color="auto" w:fill="auto"/>
                  <w:vAlign w:val="center"/>
                </w:tcPr>
                <w:p>
                  <w:pPr>
                    <w:shd w:val="clear" w:color="auto" w:fill="EBF1DE" w:themeFill="accent3" w:themeFillTint="32"/>
                    <w:rPr>
                      <w:rFonts w:ascii="宋体" w:hAnsi="宋体"/>
                    </w:rPr>
                  </w:pPr>
                </w:p>
              </w:tc>
              <w:tc>
                <w:tcPr>
                  <w:tcW w:w="119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5</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u w:val="single"/>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ascii="Times New Roman" w:hAnsi="Times New Roman" w:cs="Times New Roman"/>
                <w:u w:val="single"/>
              </w:rPr>
              <w:t>武汉有机实业</w:t>
            </w:r>
            <w:r>
              <w:rPr>
                <w:rFonts w:hint="eastAsia"/>
                <w:color w:val="000000"/>
                <w:sz w:val="21"/>
                <w:szCs w:val="21"/>
                <w:u w:val="single"/>
              </w:rPr>
              <w:t>化工污水处理项目</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重要环境因素</w:t>
                  </w:r>
                </w:p>
              </w:tc>
              <w:tc>
                <w:tcPr>
                  <w:tcW w:w="3594"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固体废弃物</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其他</w:t>
                  </w:r>
                </w:p>
              </w:tc>
              <w:tc>
                <w:tcPr>
                  <w:tcW w:w="3594"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2021年1</w:t>
            </w:r>
            <w:r>
              <w:rPr>
                <w:rFonts w:hint="eastAsia"/>
                <w:highlight w:val="none"/>
                <w:u w:val="single"/>
                <w:lang w:val="en-US" w:eastAsia="zh-CN"/>
              </w:rPr>
              <w:t>0</w:t>
            </w:r>
            <w:r>
              <w:rPr>
                <w:rFonts w:hint="eastAsia"/>
                <w:highlight w:val="none"/>
                <w:u w:val="single"/>
                <w:lang w:eastAsia="zh-CN"/>
              </w:rPr>
              <w:t>月15日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2021年12月10日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eastAsia="宋体" w:cs="宋体"/>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2021年12月14-15日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最高管理者已按策划的时间间隔，在</w:t>
            </w:r>
            <w:r>
              <w:rPr>
                <w:rFonts w:hint="eastAsia" w:cs="Times New Roman"/>
                <w:color w:val="000000"/>
                <w:szCs w:val="18"/>
                <w:highlight w:val="none"/>
                <w:u w:val="single"/>
                <w:lang w:eastAsia="zh-CN"/>
              </w:rPr>
              <w:t>2021年12月25日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“诚信至上，质量为主，优质高效；节能降耗，防治污染，保护环境；安全第一，保障健康，减少风险；全员参与，遵守法规，持续改进。</w:t>
            </w:r>
            <w:r>
              <w:rPr>
                <w:rFonts w:hint="eastAsia"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ascii="Times New Roman" w:hAnsi="Times New Roman" w:cs="Times New Roman"/>
                <w:highlight w:val="none"/>
              </w:rPr>
              <w:t>—</w:t>
            </w:r>
            <w:r>
              <w:rPr>
                <w:rFonts w:hint="eastAsia" w:cs="Times New Roman"/>
                <w:highlight w:val="none"/>
                <w:lang w:val="en-US" w:eastAsia="zh-CN"/>
              </w:rPr>
              <w:t>江仁东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r>
                    <w:rPr>
                      <w:rFonts w:hint="eastAsia"/>
                    </w:rPr>
                    <w:t>主要的风险或机遇描述</w:t>
                  </w:r>
                </w:p>
              </w:tc>
              <w:tc>
                <w:tcPr>
                  <w:tcW w:w="439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火灾</w:t>
                  </w:r>
                </w:p>
              </w:tc>
              <w:tc>
                <w:tcPr>
                  <w:tcW w:w="4396"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default"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bCs/>
                      <w:kern w:val="0"/>
                      <w:szCs w:val="21"/>
                    </w:rPr>
                    <w:t>触电</w:t>
                  </w:r>
                </w:p>
              </w:tc>
              <w:tc>
                <w:tcPr>
                  <w:tcW w:w="4396"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pPr>
                  <w:r>
                    <w:rPr>
                      <w:rFonts w:hint="eastAsia" w:asciiTheme="minorEastAsia" w:hAnsiTheme="minorEastAsia"/>
                      <w:bCs/>
                      <w:kern w:val="0"/>
                      <w:szCs w:val="21"/>
                    </w:rPr>
                    <w:t>意外事故</w:t>
                  </w:r>
                </w:p>
              </w:tc>
              <w:tc>
                <w:tcPr>
                  <w:tcW w:w="4396"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rPr>
                    <w:t>火灾事故为零</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lang w:eastAsia="zh-CN"/>
                    </w:rPr>
                    <w:t>意外伤害事故为0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5</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rPr>
              <w:t xml:space="preserve">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lang w:val="en-US" w:eastAsia="zh-CN"/>
              </w:rPr>
              <w:t xml:space="preserve"> </w:t>
            </w:r>
            <w:r>
              <w:rPr>
                <w:rFonts w:hint="eastAsia" w:ascii="Times New Roman" w:hAnsi="Times New Roman" w:cs="Times New Roman"/>
                <w:u w:val="single"/>
              </w:rPr>
              <w:t>武汉有机实业</w:t>
            </w:r>
            <w:r>
              <w:rPr>
                <w:rFonts w:hint="eastAsia"/>
                <w:color w:val="000000"/>
                <w:sz w:val="21"/>
                <w:szCs w:val="21"/>
                <w:u w:val="single"/>
              </w:rPr>
              <w:t>化工污水处理项目</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2021年1</w:t>
            </w:r>
            <w:r>
              <w:rPr>
                <w:rFonts w:hint="eastAsia"/>
                <w:highlight w:val="none"/>
                <w:u w:val="single"/>
                <w:lang w:val="en-US" w:eastAsia="zh-CN"/>
              </w:rPr>
              <w:t>0</w:t>
            </w:r>
            <w:r>
              <w:rPr>
                <w:rFonts w:hint="eastAsia"/>
                <w:highlight w:val="none"/>
                <w:u w:val="single"/>
                <w:lang w:eastAsia="zh-CN"/>
              </w:rPr>
              <w:t>月15日</w:t>
            </w:r>
            <w:r>
              <w:rPr>
                <w:rFonts w:hint="eastAsia" w:eastAsia="宋体"/>
                <w:highlight w:val="none"/>
              </w:rPr>
              <w:t>进行了火灾消防</w:t>
            </w:r>
            <w:r>
              <w:rPr>
                <w:rFonts w:hint="eastAsia" w:eastAsia="宋体"/>
              </w:rPr>
              <w:t xml:space="preserve">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2021年12月10日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eastAsia="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cs="Times New Roman"/>
                <w:color w:val="000000"/>
                <w:szCs w:val="18"/>
                <w:u w:val="single"/>
                <w:lang w:eastAsia="zh-CN"/>
              </w:rPr>
              <w:t>2021年12月14-15日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2021年12月25日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highlight w:val="none"/>
              </w:rPr>
            </w:pPr>
          </w:p>
        </w:tc>
        <w:tc>
          <w:tcPr>
            <w:tcW w:w="8748" w:type="dxa"/>
            <w:shd w:val="clear" w:color="auto" w:fill="F2DCDC" w:themeFill="accent2" w:themeFillTint="32"/>
          </w:tcPr>
          <w:p>
            <w:pPr>
              <w:rPr>
                <w:highlight w:val="none"/>
              </w:rPr>
            </w:pPr>
            <w:r>
              <w:rPr>
                <w:rFonts w:hint="eastAsia"/>
                <w:highlight w:val="none"/>
              </w:rPr>
              <w:t>组织持续改进了职业健康安全管理体系的适宜性、充分性和有效性，保留了作为持续改进证据的文件化信息 。</w:t>
            </w:r>
          </w:p>
          <w:p>
            <w:pPr>
              <w:rPr>
                <w:highlight w:val="none"/>
              </w:rPr>
            </w:pPr>
            <w:r>
              <w:rPr>
                <w:rFonts w:hint="eastAsia"/>
                <w:highlight w:val="none"/>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0" w:name="_GoBack"/>
            <w:bookmarkEnd w:id="30"/>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06A7210"/>
    <w:rsid w:val="2C406245"/>
    <w:rsid w:val="44E73C8D"/>
    <w:rsid w:val="51EA7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2022-03-10T06:06:25Z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