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0167-2020-QEO-2022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重庆恒瑞宏电力工程有限公司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重庆恒瑞宏电力工程有限公司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重庆市江北区东环路48号23-3</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重庆市江北区郭家沱铜锣村1号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鲁景桔</w:t>
            </w:r>
            <w:bookmarkEnd w:id="10"/>
          </w:p>
        </w:tc>
        <w:tc>
          <w:tcPr>
            <w:tcW w:w="1313" w:type="dxa"/>
            <w:vAlign w:val="center"/>
          </w:tcPr>
          <w:p>
            <w:r>
              <w:rPr>
                <w:rFonts w:hint="eastAsia"/>
              </w:rPr>
              <w:t>电话.</w:t>
            </w:r>
          </w:p>
        </w:tc>
        <w:tc>
          <w:tcPr>
            <w:tcW w:w="2180" w:type="dxa"/>
            <w:vAlign w:val="center"/>
          </w:tcPr>
          <w:p>
            <w:bookmarkStart w:id="11" w:name="联系人电话"/>
            <w:r>
              <w:t>023-67982088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鲁景桔</w:t>
            </w:r>
            <w:bookmarkEnd w:id="13"/>
          </w:p>
        </w:tc>
        <w:tc>
          <w:tcPr>
            <w:tcW w:w="1313" w:type="dxa"/>
            <w:vAlign w:val="center"/>
          </w:tcPr>
          <w:p>
            <w:r>
              <w:rPr>
                <w:rFonts w:hint="eastAsia"/>
              </w:rPr>
              <w:t>管理者代表</w:t>
            </w:r>
          </w:p>
        </w:tc>
        <w:tc>
          <w:tcPr>
            <w:tcW w:w="2180" w:type="dxa"/>
          </w:tcPr>
          <w:p>
            <w:bookmarkStart w:id="14" w:name="管理者代表"/>
            <w:r>
              <w:t>鲁鹏</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销售服务流程：</w:t>
            </w:r>
          </w:p>
          <w:p>
            <w:pPr>
              <w:rPr>
                <w:rFonts w:hint="eastAsia"/>
              </w:rPr>
            </w:pPr>
            <w:r>
              <w:rPr>
                <w:rFonts w:hint="eastAsia"/>
              </w:rPr>
              <w:t>市场需求－－合同评审－－合同签订－－采购产品－销售产品－－顾客验收。</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2022年03月08日 上午至2022年03月09日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宋体" w:hAnsi="宋体" w:cs="宋体"/>
                <w:color w:val="000000"/>
                <w:kern w:val="0"/>
                <w:szCs w:val="21"/>
              </w:rPr>
              <w:t>重庆市江北区郭家沱铜锣村1号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Q：高低压成套设备、五金交电、电线电缆、电气设备的销售。</w:t>
            </w:r>
          </w:p>
          <w:p>
            <w:r>
              <w:t>E：高低压成套设备、五金交电、电线电缆、电气设备的销售所涉及的相关环境管理活动。</w:t>
            </w:r>
          </w:p>
          <w:p>
            <w:r>
              <w:t>O：高低压成套设备、五金交电、电线电缆、电气设备的销售所涉及的相关职业健康安全管理活动。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宋体" w:hAnsi="宋体" w:eastAsia="宋体" w:cs="Times New Roman"/>
                <w:b/>
                <w:sz w:val="21"/>
                <w:szCs w:val="21"/>
                <w:highlight w:val="none"/>
              </w:rPr>
            </w:pPr>
            <w:r>
              <w:rPr>
                <w:rFonts w:hint="eastAsia" w:ascii="宋体" w:hAnsi="宋体" w:eastAsia="宋体" w:cs="Times New Roman"/>
                <w:b/>
                <w:sz w:val="21"/>
                <w:szCs w:val="21"/>
                <w:highlight w:val="none"/>
                <w:lang w:val="en-US" w:eastAsia="zh-CN"/>
              </w:rPr>
              <w:t>2019</w:t>
            </w:r>
            <w:r>
              <w:rPr>
                <w:rFonts w:hint="eastAsia" w:ascii="宋体" w:hAnsi="宋体" w:eastAsia="宋体" w:cs="Times New Roman"/>
                <w:b/>
                <w:sz w:val="21"/>
                <w:szCs w:val="21"/>
                <w:highlight w:val="none"/>
              </w:rPr>
              <w:t>年</w:t>
            </w:r>
            <w:r>
              <w:rPr>
                <w:rFonts w:hint="eastAsia" w:ascii="宋体" w:hAnsi="宋体" w:eastAsia="宋体" w:cs="Times New Roman"/>
                <w:b/>
                <w:sz w:val="21"/>
                <w:szCs w:val="21"/>
                <w:highlight w:val="none"/>
                <w:lang w:val="en-US" w:eastAsia="zh-CN"/>
              </w:rPr>
              <w:t>9</w:t>
            </w:r>
            <w:r>
              <w:rPr>
                <w:rFonts w:hint="eastAsia" w:ascii="宋体" w:hAnsi="宋体" w:eastAsia="宋体" w:cs="Times New Roman"/>
                <w:b/>
                <w:sz w:val="21"/>
                <w:szCs w:val="21"/>
                <w:highlight w:val="none"/>
              </w:rPr>
              <w:t>月</w:t>
            </w:r>
            <w:r>
              <w:rPr>
                <w:rFonts w:hint="eastAsia" w:ascii="宋体" w:hAnsi="宋体" w:eastAsia="宋体" w:cs="Times New Roman"/>
                <w:b/>
                <w:sz w:val="21"/>
                <w:szCs w:val="21"/>
                <w:highlight w:val="none"/>
                <w:lang w:val="en-US" w:eastAsia="zh-CN"/>
              </w:rPr>
              <w:t>10</w:t>
            </w:r>
            <w:r>
              <w:rPr>
                <w:rFonts w:hint="eastAsia" w:ascii="宋体" w:hAnsi="宋体" w:eastAsia="宋体" w:cs="Times New Roman"/>
                <w:b/>
                <w:sz w:val="21"/>
                <w:szCs w:val="21"/>
                <w:highlight w:val="none"/>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4</w:t>
            </w:r>
            <w:r>
              <w:rPr>
                <w:rFonts w:hint="eastAsia" w:ascii="宋体" w:hAnsi="宋体"/>
                <w:b/>
                <w:sz w:val="21"/>
                <w:szCs w:val="21"/>
                <w:highlight w:val="none"/>
              </w:rPr>
              <w:t>月</w:t>
            </w:r>
            <w:r>
              <w:rPr>
                <w:rFonts w:hint="eastAsia" w:ascii="宋体" w:hAnsi="宋体"/>
                <w:b/>
                <w:sz w:val="21"/>
                <w:szCs w:val="21"/>
                <w:highlight w:val="none"/>
                <w:lang w:val="en-US" w:eastAsia="zh-CN"/>
              </w:rPr>
              <w:t>19</w:t>
            </w:r>
            <w:r>
              <w:rPr>
                <w:rFonts w:hint="eastAsia" w:ascii="宋体" w:hAnsi="宋体"/>
                <w:b/>
                <w:sz w:val="21"/>
                <w:szCs w:val="21"/>
                <w:highlight w:val="none"/>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宋体"/>
                <w:b/>
                <w:sz w:val="21"/>
                <w:highlight w:val="none"/>
                <w:lang w:val="en-US" w:eastAsia="zh-CN"/>
              </w:rPr>
              <w:t>2023年5月10日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重庆恒瑞宏电力工程有限公司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重庆市江北区东环路48号23-3</w:t>
            </w:r>
          </w:p>
        </w:tc>
        <w:tc>
          <w:tcPr>
            <w:tcW w:w="2267" w:type="dxa"/>
          </w:tcPr>
          <w:p>
            <w:pPr>
              <w:rPr>
                <w:lang w:val="de-DE" w:eastAsia="ja-JP"/>
              </w:rPr>
            </w:pPr>
            <w:r>
              <w:rPr>
                <w:rFonts w:ascii="宋体" w:hAnsi="宋体" w:cs="宋体"/>
                <w:color w:val="000000"/>
                <w:kern w:val="0"/>
                <w:szCs w:val="21"/>
              </w:rPr>
              <w:t>重庆市江北区郭家沱铜锣村1号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ascii="宋体" w:hAnsi="宋体" w:cs="宋体"/>
                <w:color w:val="000000"/>
                <w:kern w:val="0"/>
                <w:szCs w:val="21"/>
              </w:rPr>
              <w:t>高低压成套设备、五金交电、电线电缆、电气设备的销售</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重庆恒瑞宏电力工程有限公司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重庆市江北区东环路48号23-3</w:t>
            </w:r>
          </w:p>
        </w:tc>
        <w:tc>
          <w:tcPr>
            <w:tcW w:w="2267" w:type="dxa"/>
            <w:vAlign w:val="top"/>
          </w:tcPr>
          <w:p>
            <w:pPr>
              <w:rPr>
                <w:lang w:eastAsia="ja-JP"/>
              </w:rPr>
            </w:pPr>
            <w:r>
              <w:rPr>
                <w:rFonts w:ascii="宋体" w:hAnsi="宋体" w:cs="宋体"/>
                <w:color w:val="000000"/>
                <w:kern w:val="0"/>
                <w:szCs w:val="21"/>
              </w:rPr>
              <w:t>重庆市江北区郭家沱铜锣村1号</w:t>
            </w:r>
          </w:p>
        </w:tc>
        <w:tc>
          <w:tcPr>
            <w:tcW w:w="571" w:type="dxa"/>
            <w:vAlign w:val="center"/>
          </w:tcPr>
          <w:p>
            <w:pPr>
              <w:rPr>
                <w:lang w:eastAsia="ja-JP"/>
              </w:rPr>
            </w:pPr>
            <w:r>
              <w:rPr>
                <w:rFonts w:hint="eastAsia"/>
                <w:lang w:val="en-US" w:eastAsia="zh-CN"/>
              </w:rPr>
              <w:t>25</w:t>
            </w:r>
          </w:p>
        </w:tc>
        <w:tc>
          <w:tcPr>
            <w:tcW w:w="2803" w:type="dxa"/>
            <w:vAlign w:val="center"/>
          </w:tcPr>
          <w:p>
            <w:pPr>
              <w:rPr>
                <w:lang w:eastAsia="ja-JP"/>
              </w:rPr>
            </w:pPr>
            <w:r>
              <w:rPr>
                <w:rFonts w:ascii="宋体" w:hAnsi="宋体" w:cs="宋体"/>
                <w:color w:val="000000"/>
                <w:kern w:val="0"/>
                <w:szCs w:val="21"/>
              </w:rPr>
              <w:t>高低压成套设备、五金交电、电线电缆、电气设备的销售所涉及的相关环境管理活动</w:t>
            </w:r>
          </w:p>
        </w:tc>
        <w:tc>
          <w:tcPr>
            <w:tcW w:w="669" w:type="dxa"/>
            <w:vAlign w:val="center"/>
          </w:tcPr>
          <w:p>
            <w:pPr>
              <w:rPr>
                <w:lang w:eastAsia="ja-JP"/>
              </w:rPr>
            </w:pPr>
            <w:r>
              <w:rPr>
                <w:rFonts w:ascii="宋体" w:hAnsi="宋体" w:cs="宋体"/>
                <w:color w:val="000000"/>
                <w:kern w:val="0"/>
                <w:szCs w:val="21"/>
              </w:rPr>
              <w:t>GB/T 24001-2016</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重庆恒瑞宏电力工程有限公司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重庆市江北区东环路48号23-3</w:t>
            </w:r>
          </w:p>
        </w:tc>
        <w:tc>
          <w:tcPr>
            <w:tcW w:w="2267" w:type="dxa"/>
            <w:vAlign w:val="top"/>
          </w:tcPr>
          <w:p>
            <w:pPr>
              <w:rPr>
                <w:lang w:eastAsia="ja-JP"/>
              </w:rPr>
            </w:pPr>
            <w:r>
              <w:rPr>
                <w:rFonts w:ascii="宋体" w:hAnsi="宋体" w:cs="宋体"/>
                <w:color w:val="000000"/>
                <w:kern w:val="0"/>
                <w:szCs w:val="21"/>
              </w:rPr>
              <w:t>重庆市江北区郭家沱铜锣村1号</w:t>
            </w:r>
          </w:p>
        </w:tc>
        <w:tc>
          <w:tcPr>
            <w:tcW w:w="571" w:type="dxa"/>
            <w:vAlign w:val="center"/>
          </w:tcPr>
          <w:p>
            <w:pPr>
              <w:rPr>
                <w:lang w:eastAsia="ja-JP"/>
              </w:rPr>
            </w:pPr>
            <w:r>
              <w:rPr>
                <w:rFonts w:hint="eastAsia"/>
                <w:lang w:val="en-US" w:eastAsia="zh-CN"/>
              </w:rPr>
              <w:t>25</w:t>
            </w:r>
          </w:p>
        </w:tc>
        <w:tc>
          <w:tcPr>
            <w:tcW w:w="2803" w:type="dxa"/>
            <w:vAlign w:val="center"/>
          </w:tcPr>
          <w:p>
            <w:pPr>
              <w:rPr>
                <w:lang w:eastAsia="ja-JP"/>
              </w:rPr>
            </w:pPr>
            <w:r>
              <w:rPr>
                <w:rFonts w:ascii="宋体" w:hAnsi="宋体" w:cs="宋体"/>
                <w:color w:val="000000"/>
                <w:kern w:val="0"/>
                <w:szCs w:val="21"/>
              </w:rPr>
              <w:t>高低压成套设备、五金交电、电线电缆、电气设备的销售所涉及的相关职业健康安全管理活动</w:t>
            </w:r>
          </w:p>
        </w:tc>
        <w:tc>
          <w:tcPr>
            <w:tcW w:w="669" w:type="dxa"/>
            <w:vAlign w:val="center"/>
          </w:tcPr>
          <w:p>
            <w:pPr>
              <w:rPr>
                <w:lang w:eastAsia="ja-JP"/>
              </w:rPr>
            </w:pPr>
            <w:r>
              <w:rPr>
                <w:rFonts w:ascii="宋体" w:hAnsi="宋体" w:cs="宋体"/>
                <w:color w:val="000000"/>
                <w:kern w:val="0"/>
                <w:szCs w:val="21"/>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green"/>
        </w:rPr>
      </w:pPr>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24765</wp:posOffset>
                  </wp:positionV>
                  <wp:extent cx="812800" cy="400050"/>
                  <wp:effectExtent l="0" t="0" r="10160" b="1143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2022年3月9日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黑体" w:hAnsi="黑体" w:eastAsia="黑体" w:cs="黑体"/>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82"/>
              <w:rPr>
                <w:rFonts w:hint="eastAsia"/>
              </w:rPr>
            </w:pPr>
            <w:r>
              <w:rPr>
                <w:rFonts w:hint="eastAsia"/>
              </w:rPr>
              <w:t>最高管理者制定了文件化的管理体系方针：</w:t>
            </w:r>
            <w:r>
              <w:rPr>
                <w:rFonts w:hint="eastAsia"/>
                <w:u w:val="single"/>
                <w:lang w:eastAsia="zh-CN"/>
              </w:rPr>
              <w:t>“</w:t>
            </w:r>
            <w:r>
              <w:rPr>
                <w:rFonts w:hint="eastAsia" w:asciiTheme="minorEastAsia" w:hAnsiTheme="minorEastAsia" w:eastAsiaTheme="minorEastAsia" w:cstheme="minorEastAsia"/>
                <w:b w:val="0"/>
                <w:bCs w:val="0"/>
                <w:sz w:val="21"/>
                <w:szCs w:val="21"/>
                <w:u w:val="single"/>
              </w:rPr>
              <w:t>质量为本、满意服务；污染预防、全员环保；安全为天、珍爱生命；遵纪守法、持续改进</w:t>
            </w:r>
            <w:r>
              <w:rPr>
                <w:rFonts w:hint="eastAsia"/>
                <w:u w:val="single"/>
                <w:lang w:eastAsia="zh-CN"/>
              </w:rPr>
              <w:t>”</w:t>
            </w:r>
            <w:r>
              <w:rPr>
                <w:rFonts w:hint="eastAsia"/>
                <w:u w:val="single"/>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市场</w:t>
            </w:r>
            <w:r>
              <w:rPr>
                <w:rFonts w:hint="eastAsia"/>
                <w:lang w:eastAsia="zh-CN"/>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Times New Roman"/>
                      <w:lang w:eastAsia="zh-CN"/>
                    </w:rPr>
                    <w:t>产品交付合格率100%；</w:t>
                  </w:r>
                </w:p>
              </w:tc>
              <w:tc>
                <w:tcPr>
                  <w:tcW w:w="3136"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eastAsia="zh-CN"/>
                    </w:rPr>
                    <w:t>交验合格数/交验数×100%</w:t>
                  </w:r>
                </w:p>
              </w:tc>
              <w:tc>
                <w:tcPr>
                  <w:tcW w:w="1350"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val="en-US" w:eastAsia="zh-CN"/>
                    </w:rPr>
                    <w:t>市场</w:t>
                  </w:r>
                  <w:r>
                    <w:rPr>
                      <w:rFonts w:hint="eastAsia" w:ascii="宋体" w:hAnsi="宋体" w:cs="Times New Roman"/>
                      <w:lang w:val="en-GB" w:eastAsia="zh-CN"/>
                    </w:rPr>
                    <w:t>部</w:t>
                  </w:r>
                </w:p>
              </w:tc>
              <w:tc>
                <w:tcPr>
                  <w:tcW w:w="1774"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default" w:ascii="宋体" w:hAnsi="宋体" w:cs="Times New Roman"/>
                      <w:lang w:val="en-US" w:eastAsia="zh-CN"/>
                    </w:rPr>
                  </w:pPr>
                  <w:r>
                    <w:rPr>
                      <w:rFonts w:hint="eastAsia" w:ascii="宋体" w:hAnsi="宋体" w:cs="Times New Roman"/>
                      <w:lang w:eastAsia="zh-CN"/>
                    </w:rPr>
                    <w:t>顾客满意率≥9</w:t>
                  </w:r>
                  <w:r>
                    <w:rPr>
                      <w:rFonts w:hint="eastAsia" w:ascii="宋体" w:hAnsi="宋体" w:cs="Times New Roman"/>
                      <w:lang w:val="en-US" w:eastAsia="zh-CN"/>
                    </w:rPr>
                    <w:t>0分</w:t>
                  </w:r>
                </w:p>
                <w:p>
                  <w:pPr>
                    <w:shd w:val="clear" w:color="auto" w:fill="C7DAF1" w:themeFill="text2" w:themeFillTint="32"/>
                    <w:rPr>
                      <w:rFonts w:hint="eastAsia" w:ascii="宋体" w:hAnsi="宋体" w:cs="Times New Roman"/>
                      <w:lang w:val="en-US" w:eastAsia="zh-CN"/>
                    </w:rPr>
                  </w:pPr>
                </w:p>
              </w:tc>
              <w:tc>
                <w:tcPr>
                  <w:tcW w:w="3136"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cs="Times New Roman"/>
                      <w:lang w:val="en-US" w:eastAsia="zh-CN"/>
                    </w:rPr>
                    <w:t>满意度得分=打分总分数÷调查客户数量</w:t>
                  </w:r>
                </w:p>
              </w:tc>
              <w:tc>
                <w:tcPr>
                  <w:tcW w:w="1350" w:type="dxa"/>
                  <w:shd w:val="clear" w:color="auto" w:fill="auto"/>
                  <w:vAlign w:val="center"/>
                </w:tcPr>
                <w:p>
                  <w:pPr>
                    <w:shd w:val="clear" w:color="auto" w:fill="C7DAF1" w:themeFill="text2" w:themeFillTint="32"/>
                    <w:rPr>
                      <w:rFonts w:hint="eastAsia" w:ascii="宋体" w:hAnsi="宋体" w:cs="Times New Roman"/>
                      <w:lang w:eastAsia="zh-CN"/>
                    </w:rPr>
                  </w:pPr>
                  <w:r>
                    <w:rPr>
                      <w:rFonts w:hint="eastAsia" w:ascii="宋体" w:hAnsi="宋体" w:cs="Times New Roman"/>
                      <w:lang w:eastAsia="zh-CN"/>
                    </w:rPr>
                    <w:t>市场部</w:t>
                  </w:r>
                </w:p>
              </w:tc>
              <w:tc>
                <w:tcPr>
                  <w:tcW w:w="1774" w:type="dxa"/>
                  <w:shd w:val="clear" w:color="auto" w:fill="auto"/>
                  <w:vAlign w:val="center"/>
                </w:tcPr>
                <w:p>
                  <w:pPr>
                    <w:shd w:val="clear" w:color="auto" w:fill="C7DAF1" w:themeFill="text2" w:themeFillTint="32"/>
                    <w:rPr>
                      <w:rFonts w:hint="default" w:ascii="宋体" w:hAnsi="宋体" w:cs="Times New Roman"/>
                      <w:lang w:val="en-US" w:eastAsia="zh-CN"/>
                    </w:rPr>
                  </w:pPr>
                  <w:r>
                    <w:rPr>
                      <w:rFonts w:hint="eastAsia" w:ascii="宋体" w:hAnsi="宋体" w:cs="Times New Roman"/>
                      <w:lang w:val="en-US" w:eastAsia="zh-CN"/>
                    </w:rPr>
                    <w:t>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eastAsia="宋体"/>
              </w:rPr>
              <w:t>建筑面积</w:t>
            </w:r>
            <w:r>
              <w:rPr>
                <w:rFonts w:hint="eastAsia" w:eastAsia="宋体"/>
                <w:lang w:val="en-US" w:eastAsia="zh-CN"/>
              </w:rPr>
              <w:t>600</w:t>
            </w:r>
            <w:r>
              <w:rPr>
                <w:rFonts w:hint="eastAsia" w:eastAsia="宋体"/>
              </w:rPr>
              <w:t>平方米；</w:t>
            </w:r>
            <w:r>
              <w:rPr>
                <w:rFonts w:hint="eastAsia" w:eastAsia="宋体"/>
                <w:lang w:val="en-US" w:eastAsia="zh-CN"/>
              </w:rPr>
              <w:t>经营场所1</w:t>
            </w:r>
            <w:r>
              <w:rPr>
                <w:rFonts w:hint="eastAsia"/>
              </w:rPr>
              <w:t>个；库房</w:t>
            </w:r>
            <w:r>
              <w:rPr>
                <w:rFonts w:hint="eastAsia"/>
                <w:lang w:val="en-US" w:eastAsia="zh-CN"/>
              </w:rPr>
              <w:t xml:space="preserve"> 1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ighlight w:val="none"/>
                <w:u w:val="single"/>
              </w:rPr>
              <w:t xml:space="preserve"> </w:t>
            </w:r>
            <w:r>
              <w:rPr>
                <w:rFonts w:hint="eastAsia"/>
                <w:highlight w:val="none"/>
                <w:u w:val="single"/>
                <w:lang w:val="en-US" w:eastAsia="zh-CN"/>
              </w:rPr>
              <w:t>电脑、打印机、空调等办公设备</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黑体" w:hAnsi="黑体" w:eastAsia="黑体" w:cs="黑体"/>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黑体" w:hAnsi="黑体" w:eastAsia="黑体" w:cs="黑体"/>
                <w:lang w:eastAsia="zh-CN"/>
              </w:rPr>
              <w:t>□</w:t>
            </w:r>
            <w:r>
              <w:rPr>
                <w:rFonts w:hint="eastAsia"/>
              </w:rPr>
              <w:t>压力容器</w:t>
            </w:r>
            <w:r>
              <w:rPr>
                <w:rFonts w:hint="eastAsia" w:ascii="Wingdings" w:hAnsi="Wingdings"/>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黑体" w:hAnsi="黑体" w:eastAsia="黑体" w:cs="黑体"/>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C7DAF1" w:themeFill="text2" w:themeFillTint="32"/>
              <w:rPr>
                <w:u w:val="single"/>
              </w:rPr>
            </w:pPr>
            <w:r>
              <w:rPr>
                <w:rFonts w:hint="eastAsia"/>
              </w:rPr>
              <w:t>国家强检的计量器具有：</w:t>
            </w:r>
          </w:p>
          <w:p>
            <w:pPr>
              <w:shd w:val="clear" w:color="auto" w:fill="C7DAF1" w:themeFill="text2"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黑体" w:hAnsi="黑体" w:eastAsia="黑体" w:cs="黑体"/>
                <w:lang w:eastAsia="zh-CN"/>
              </w:rPr>
              <w:t>□</w:t>
            </w:r>
            <w:r>
              <w:rPr>
                <w:rFonts w:hint="eastAsia"/>
              </w:rPr>
              <w:t>加工工艺</w:t>
            </w:r>
            <w:r>
              <w:rPr>
                <w:rFonts w:hint="eastAsia" w:ascii="黑体" w:hAnsi="黑体" w:eastAsia="黑体" w:cs="黑体"/>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黑体" w:hAnsi="黑体" w:eastAsia="黑体" w:cs="黑体"/>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黑体" w:hAnsi="黑体" w:eastAsia="黑体" w:cs="黑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销售产品采购。</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高低压成套设备、五金交电、电线电缆、电气设备的销售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销售服务过程</w:t>
                  </w:r>
                </w:p>
              </w:tc>
              <w:tc>
                <w:tcPr>
                  <w:tcW w:w="3265" w:type="dxa"/>
                </w:tcPr>
                <w:p>
                  <w:pPr>
                    <w:shd w:val="clear" w:color="auto" w:fill="C7DAF1" w:themeFill="text2" w:themeFillTint="32"/>
                    <w:jc w:val="left"/>
                    <w:rPr>
                      <w:rFonts w:hint="eastAsia" w:eastAsia="宋体"/>
                      <w:lang w:eastAsia="zh-CN"/>
                    </w:rPr>
                  </w:pPr>
                  <w:r>
                    <w:rPr>
                      <w:rFonts w:hint="eastAsia"/>
                      <w:lang w:val="en-US" w:eastAsia="zh-CN"/>
                    </w:rPr>
                    <w:t>产品质量、交付期、售后服务</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销售过程</w:t>
            </w:r>
            <w:r>
              <w:rPr>
                <w:rFonts w:hint="eastAsia"/>
              </w:rPr>
              <w:t>，</w:t>
            </w:r>
          </w:p>
          <w:p>
            <w:pPr>
              <w:shd w:val="clear" w:color="auto" w:fill="C7DAF1" w:themeFill="text2" w:themeFillTint="32"/>
              <w:jc w:val="left"/>
            </w:pPr>
            <w:r>
              <w:rPr>
                <w:rFonts w:hint="eastAsia" w:ascii="黑体" w:hAnsi="黑体" w:eastAsia="黑体" w:cs="黑体"/>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w:t>
            </w:r>
            <w:r>
              <w:rPr>
                <w:rFonts w:hint="eastAsia"/>
                <w:lang w:val="en-US" w:eastAsia="zh-CN"/>
              </w:rPr>
              <w:t>1</w:t>
            </w:r>
            <w:r>
              <w:rPr>
                <w:rFonts w:hint="eastAsia"/>
              </w:rPr>
              <w:t>月</w:t>
            </w:r>
            <w:r>
              <w:rPr>
                <w:rFonts w:hint="eastAsia"/>
                <w:lang w:val="en-US" w:eastAsia="zh-CN"/>
              </w:rPr>
              <w:t>15</w:t>
            </w:r>
            <w:r>
              <w:rPr>
                <w:rFonts w:hint="eastAsia"/>
              </w:rPr>
              <w:t>日</w:t>
            </w:r>
            <w:r>
              <w:rPr>
                <w:rFonts w:hint="eastAsia"/>
                <w:lang w:val="en-US" w:eastAsia="zh-CN"/>
              </w:rPr>
              <w:t>-16日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82"/>
              <w:rPr>
                <w:u w:val="single"/>
              </w:rPr>
            </w:pPr>
            <w:r>
              <w:rPr>
                <w:rFonts w:hint="eastAsia"/>
              </w:rPr>
              <w:t>最高管理者制定了文件化</w:t>
            </w:r>
            <w:r>
              <w:rPr>
                <w:rFonts w:hint="eastAsia"/>
                <w:highlight w:val="none"/>
              </w:rPr>
              <w:t>的管理体系方针：</w:t>
            </w:r>
            <w:r>
              <w:rPr>
                <w:rFonts w:hint="eastAsia"/>
                <w:u w:val="single"/>
                <w:lang w:eastAsia="zh-CN"/>
              </w:rPr>
              <w:t>“</w:t>
            </w:r>
            <w:r>
              <w:rPr>
                <w:rFonts w:hint="eastAsia"/>
                <w:u w:val="single"/>
              </w:rPr>
              <w:t>质量为本、满意服务；污染预防、全员环保；安全为天、珍爱生命；遵纪守法、持续改进</w:t>
            </w:r>
            <w:r>
              <w:rPr>
                <w:rFonts w:hint="eastAsia"/>
                <w:u w:val="single"/>
                <w:lang w:eastAsia="zh-CN"/>
              </w:rPr>
              <w:t>”</w:t>
            </w:r>
            <w:r>
              <w:rPr>
                <w:rFonts w:hint="eastAsia"/>
                <w:u w:val="single"/>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lang w:val="en-US" w:eastAsia="zh-CN"/>
                    </w:rPr>
                    <w:t>固废排放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rPr>
                      <w:highlight w:val="none"/>
                    </w:rPr>
                  </w:pPr>
                  <w:r>
                    <w:rPr>
                      <w:rFonts w:hint="eastAsia" w:ascii="宋体" w:eastAsia="宋体"/>
                      <w:highlight w:val="none"/>
                    </w:rPr>
                    <w:t>火灾事故为0</w:t>
                  </w:r>
                </w:p>
              </w:tc>
              <w:tc>
                <w:tcPr>
                  <w:tcW w:w="2727" w:type="dxa"/>
                  <w:shd w:val="clear" w:color="auto" w:fill="auto"/>
                  <w:vAlign w:val="center"/>
                </w:tcPr>
                <w:p>
                  <w:pPr>
                    <w:shd w:val="clear" w:color="auto" w:fill="EBF1DE" w:themeFill="accent3" w:themeFillTint="32"/>
                    <w:rPr>
                      <w:rFonts w:ascii="宋体" w:hAnsi="宋体" w:eastAsia="宋体" w:cs="Times New Roman"/>
                      <w:kern w:val="2"/>
                      <w:sz w:val="21"/>
                      <w:szCs w:val="24"/>
                      <w:highlight w:val="none"/>
                      <w:lang w:val="en-GB"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GB"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highlight w:val="none"/>
                    </w:rPr>
                  </w:pPr>
                  <w:r>
                    <w:rPr>
                      <w:rFonts w:hint="eastAsia" w:ascii="宋体" w:eastAsia="宋体"/>
                      <w:highlight w:val="none"/>
                      <w:lang w:val="en-US" w:eastAsia="zh-CN"/>
                    </w:rPr>
                    <w:t>固体废弃物</w:t>
                  </w:r>
                  <w:r>
                    <w:rPr>
                      <w:rFonts w:hint="eastAsia" w:ascii="宋体" w:eastAsia="宋体"/>
                      <w:highlight w:val="none"/>
                    </w:rPr>
                    <w:t>100%</w:t>
                  </w:r>
                  <w:r>
                    <w:rPr>
                      <w:rFonts w:hint="eastAsia" w:ascii="宋体" w:eastAsia="宋体"/>
                      <w:highlight w:val="none"/>
                      <w:lang w:val="en-US" w:eastAsia="zh-CN"/>
                    </w:rPr>
                    <w:t>合规处理</w:t>
                  </w:r>
                </w:p>
              </w:tc>
              <w:tc>
                <w:tcPr>
                  <w:tcW w:w="2727"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组织应确定、提供并维护所需的基础设施情</w:t>
            </w:r>
            <w:r>
              <w:rPr>
                <w:rFonts w:hint="eastAsia"/>
                <w:highlight w:val="none"/>
              </w:rPr>
              <w:t>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600</w:t>
            </w:r>
            <w:r>
              <w:rPr>
                <w:rFonts w:hint="eastAsia"/>
                <w:highlight w:val="none"/>
                <w:u w:val="single"/>
              </w:rPr>
              <w:t xml:space="preserve">   </w:t>
            </w:r>
            <w:r>
              <w:rPr>
                <w:rFonts w:hint="eastAsia"/>
                <w:highlight w:val="none"/>
              </w:rPr>
              <w:t>平方米；</w:t>
            </w:r>
            <w:r>
              <w:rPr>
                <w:rFonts w:hint="eastAsia"/>
                <w:highlight w:val="none"/>
                <w:lang w:val="en-US" w:eastAsia="zh-CN"/>
              </w:rPr>
              <w:t>经营场所</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电脑、打印机、空调等办公设备</w:t>
            </w:r>
            <w:r>
              <w:rPr>
                <w:rFonts w:hint="eastAsia"/>
                <w:highlight w:val="none"/>
                <w:u w:val="single"/>
              </w:rPr>
              <w:t xml:space="preserve">     </w:t>
            </w:r>
          </w:p>
          <w:p>
            <w:pPr>
              <w:spacing w:line="400" w:lineRule="exact"/>
              <w:rPr>
                <w:highlight w:val="none"/>
                <w:u w:val="single"/>
              </w:rPr>
            </w:pPr>
            <w:r>
              <w:rPr>
                <w:rFonts w:hint="eastAsia"/>
                <w:highlight w:val="none"/>
              </w:rPr>
              <w:t>主要环保设备有：</w:t>
            </w:r>
            <w:r>
              <w:rPr>
                <w:rFonts w:hint="eastAsia"/>
                <w:highlight w:val="none"/>
                <w:u w:val="single"/>
              </w:rPr>
              <w:t xml:space="preserve">  </w:t>
            </w:r>
            <w:r>
              <w:rPr>
                <w:rFonts w:hint="eastAsia"/>
                <w:szCs w:val="21"/>
                <w:highlight w:val="none"/>
                <w:u w:val="single"/>
              </w:rPr>
              <w:t>消防栓、灭火器</w:t>
            </w:r>
            <w:r>
              <w:rPr>
                <w:rFonts w:hint="eastAsia"/>
                <w:highlight w:val="none"/>
                <w:u w:val="single"/>
              </w:rPr>
              <w:t xml:space="preserve">             </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无</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u w:val="single"/>
                <w:lang w:val="en-US" w:eastAsia="zh-CN"/>
              </w:rPr>
              <w:t>不适用</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eastAsia="zh-CN"/>
              </w:rPr>
            </w:pPr>
            <w:r>
              <w:rPr>
                <w:rFonts w:hint="eastAsia"/>
              </w:rPr>
              <w:t>组织在生产和服务提供的整个过程中</w:t>
            </w:r>
            <w:r>
              <w:rPr>
                <w:rFonts w:hint="eastAsia"/>
                <w:lang w:val="en-US" w:eastAsia="zh-CN"/>
              </w:rPr>
              <w:t>不涉及</w:t>
            </w:r>
            <w:r>
              <w:rPr>
                <w:rFonts w:hint="eastAsia"/>
              </w:rPr>
              <w:t>危化品</w:t>
            </w:r>
            <w:r>
              <w:rPr>
                <w:rFonts w:hint="eastAsia"/>
                <w:lang w:eastAsia="zh-CN"/>
              </w:rPr>
              <w:t>。</w:t>
            </w:r>
          </w:p>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default" w:eastAsia="宋体"/>
                <w:lang w:val="en-US" w:eastAsia="zh-CN"/>
              </w:rPr>
            </w:pPr>
            <w:r>
              <w:rPr>
                <w:rFonts w:hint="eastAsia"/>
              </w:rPr>
              <w:t>危化品：</w:t>
            </w:r>
            <w:r>
              <w:rPr>
                <w:rFonts w:hint="eastAsia"/>
                <w:lang w:val="en-US" w:eastAsia="zh-CN"/>
              </w:rPr>
              <w:t>不涉及</w:t>
            </w:r>
            <w:r>
              <w:rPr>
                <w:rFonts w:hint="eastAsia"/>
              </w:rPr>
              <w:t>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¨设备 ¨检测设备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工艺 ¨加工场所 ¨其他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Wingdings" w:hAnsi="Wingdings"/>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w:t>
            </w:r>
            <w:r>
              <w:rPr>
                <w:rFonts w:hint="eastAsia"/>
              </w:rPr>
              <w:t>日进行了</w:t>
            </w:r>
            <w:r>
              <w:rPr>
                <w:rFonts w:hint="eastAsia"/>
                <w:lang w:val="en-US" w:eastAsia="zh-CN"/>
              </w:rPr>
              <w:t>消防</w:t>
            </w:r>
            <w:r>
              <w:rPr>
                <w:rFonts w:hint="eastAsia"/>
              </w:rPr>
              <w:t>的演练</w:t>
            </w:r>
            <w:r>
              <w:rPr>
                <w:rFonts w:hint="eastAsia" w:ascii="Times New Roman" w:hAnsi="Times New Roman" w:cs="Times New Roman"/>
              </w:rPr>
              <w:t>；并总结了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ascii="Times New Roman" w:hAnsi="Times New Roman" w:cs="Times New Roman"/>
              </w:rPr>
            </w:pPr>
            <w:r>
              <w:rPr>
                <w:rFonts w:hint="eastAsia"/>
              </w:rPr>
              <w:t>实施</w:t>
            </w:r>
            <w:r>
              <w:rPr>
                <w:rFonts w:hint="eastAsia" w:ascii="Times New Roman" w:hAnsi="Times New Roman" w:cs="Times New Roman"/>
              </w:rPr>
              <w:t>合规性评价的时间：</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 xml:space="preserve">¨定期（每年） </w:t>
            </w:r>
            <w:r>
              <w:rPr>
                <w:rFonts w:hint="eastAsia"/>
              </w:rPr>
              <w:t>：</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组织在适当阶段实施</w:t>
            </w:r>
            <w:r>
              <w:rPr>
                <w:rFonts w:hint="eastAsia"/>
                <w:highlight w:val="none"/>
              </w:rPr>
              <w:t xml:space="preserve">策划的安排，以验证环境法律法规的要求已得到满足。 </w:t>
            </w:r>
          </w:p>
          <w:p>
            <w:pPr>
              <w:shd w:val="clear" w:color="auto" w:fill="EBF1DE" w:themeFill="accent3" w:themeFillTint="32"/>
              <w:rPr>
                <w:rFonts w:hint="eastAsia" w:eastAsia="宋体"/>
                <w:highlight w:val="none"/>
                <w:lang w:val="en-US" w:eastAsia="zh-CN"/>
              </w:rPr>
            </w:pPr>
            <w:r>
              <w:rPr>
                <w:rFonts w:hint="eastAsia"/>
                <w:highlight w:val="none"/>
              </w:rPr>
              <w:t>实施的检测：</w:t>
            </w:r>
            <w:r>
              <w:rPr>
                <w:rFonts w:hint="eastAsia"/>
                <w:highlight w:val="none"/>
                <w:lang w:val="en-US" w:eastAsia="zh-CN"/>
              </w:rPr>
              <w:t>无</w:t>
            </w:r>
          </w:p>
          <w:p>
            <w:pPr>
              <w:shd w:val="clear" w:color="auto" w:fill="EBF1DE" w:themeFill="accent3" w:themeFillTint="32"/>
              <w:rPr>
                <w:highlight w:val="none"/>
              </w:rPr>
            </w:pPr>
            <w:r>
              <w:rPr>
                <w:rFonts w:hint="eastAsia"/>
                <w:highlight w:val="none"/>
              </w:rPr>
              <w:t>《环境监测报告》编号：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shd w:val="clear" w:color="auto" w:fill="EBF1DE" w:themeFill="accent3" w:themeFillTint="32"/>
            </w:pPr>
            <w:r>
              <w:rPr>
                <w:rFonts w:hint="eastAsia"/>
                <w:highlight w:val="none"/>
              </w:rPr>
              <w:t>达标评价：</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ascii="Times New Roman" w:hAnsi="Times New Roman" w:cs="Times New Roman"/>
              </w:rPr>
              <w:t>策划于</w:t>
            </w:r>
            <w:r>
              <w:rPr>
                <w:rFonts w:hint="eastAsia" w:ascii="宋体" w:hAnsi="宋体" w:eastAsia="宋体" w:cs="宋体"/>
                <w:color w:val="auto"/>
                <w:szCs w:val="21"/>
                <w:highlight w:val="none"/>
                <w:lang w:val="en-US" w:eastAsia="zh-CN"/>
              </w:rPr>
              <w:t>2022年1月15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16日</w:t>
            </w:r>
            <w:r>
              <w:rPr>
                <w:rFonts w:hint="eastAsia" w:ascii="Times New Roman" w:hAnsi="Times New Roman" w:cs="Times New Roman"/>
              </w:rPr>
              <w:t xml:space="preserve">实施了环境管理体系内部审核，对环境管理体系的符合性和有效性进行了审核。内审发现的 </w:t>
            </w:r>
            <w:r>
              <w:rPr>
                <w:rFonts w:hint="eastAsia" w:ascii="Times New Roman" w:hAnsi="Times New Roman" w:cs="Times New Roman"/>
                <w:lang w:val="en-US" w:eastAsia="zh-CN"/>
              </w:rPr>
              <w:t>1</w:t>
            </w:r>
            <w:r>
              <w:rPr>
                <w:rFonts w:hint="eastAsia" w:ascii="Times New Roman" w:hAnsi="Times New Roman" w:cs="Times New Roman"/>
              </w:rPr>
              <w:t xml:space="preserve"> 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w:t>
            </w:r>
            <w:r>
              <w:rPr>
                <w:rFonts w:hint="eastAsia" w:ascii="Times New Roman" w:hAnsi="Times New Roman" w:cs="Times New Roman"/>
              </w:rPr>
              <w:t>策划的时间间隔，在</w:t>
            </w:r>
            <w:r>
              <w:rPr>
                <w:rFonts w:hint="eastAsia" w:ascii="Times New Roman" w:hAnsi="Times New Roman" w:cs="Times New Roman"/>
                <w:lang w:val="en-US" w:eastAsia="zh-CN"/>
              </w:rPr>
              <w:t>2022</w:t>
            </w:r>
            <w:r>
              <w:rPr>
                <w:rFonts w:hint="eastAsia" w:ascii="Times New Roman" w:hAnsi="Times New Roman" w:cs="Times New Roman"/>
              </w:rPr>
              <w:t>年</w:t>
            </w:r>
            <w:r>
              <w:rPr>
                <w:rFonts w:hint="eastAsia" w:ascii="Times New Roman" w:hAnsi="Times New Roman" w:cs="Times New Roman"/>
                <w:lang w:val="en-US" w:eastAsia="zh-CN"/>
              </w:rPr>
              <w:t>1</w:t>
            </w:r>
            <w:r>
              <w:rPr>
                <w:rFonts w:hint="eastAsia" w:ascii="Times New Roman" w:hAnsi="Times New Roman" w:cs="Times New Roman"/>
              </w:rPr>
              <w:t>月</w:t>
            </w:r>
            <w:r>
              <w:rPr>
                <w:rFonts w:hint="eastAsia" w:ascii="Times New Roman" w:hAnsi="Times New Roman" w:cs="Times New Roman"/>
                <w:lang w:val="en-US" w:eastAsia="zh-CN"/>
              </w:rPr>
              <w:t>20</w:t>
            </w:r>
            <w:r>
              <w:rPr>
                <w:rFonts w:hint="eastAsia" w:ascii="Times New Roman" w:hAnsi="Times New Roman" w:cs="Times New Roman"/>
              </w:rPr>
              <w:t>日</w:t>
            </w:r>
            <w:r>
              <w:rPr>
                <w:rFonts w:hint="eastAsia" w:ascii="Times New Roman" w:hAnsi="Times New Roman" w:cs="Times New Roman"/>
              </w:rPr>
              <w:t>对组织的环境管理体系进行了评审，以确保其持续的适宜性、充分性和有效性；管理评审输入、输</w:t>
            </w:r>
            <w:r>
              <w:rPr>
                <w:rFonts w:hint="eastAsia"/>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82"/>
              <w:rPr>
                <w:rFonts w:hint="eastAsia"/>
              </w:rPr>
            </w:pPr>
            <w:r>
              <w:rPr>
                <w:rFonts w:hint="eastAsia"/>
              </w:rPr>
              <w:t>最高管理者制定了文件化的职业健康安全管理体系方针</w:t>
            </w:r>
            <w:r>
              <w:rPr>
                <w:rFonts w:hint="eastAsia"/>
                <w:u w:val="single"/>
                <w:lang w:eastAsia="zh-CN"/>
              </w:rPr>
              <w:t>“</w:t>
            </w:r>
            <w:r>
              <w:rPr>
                <w:rFonts w:hint="eastAsia"/>
                <w:u w:val="single"/>
              </w:rPr>
              <w:t>质量为本、满意服务；污染预防、全员环保；安全为天、珍爱生命；遵纪守法、持续改进</w:t>
            </w:r>
            <w:r>
              <w:rPr>
                <w:rFonts w:hint="eastAsia"/>
                <w:u w:val="single"/>
                <w:lang w:eastAsia="zh-CN"/>
              </w:rPr>
              <w:t>”</w:t>
            </w:r>
            <w:r>
              <w:rPr>
                <w:rFonts w:hint="eastAsia"/>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ascii="Times New Roman" w:hAnsi="Times New Roman" w:cs="Times New Roman"/>
              </w:rPr>
              <w:t>员工代表是——</w:t>
            </w:r>
            <w:r>
              <w:rPr>
                <w:rFonts w:hint="eastAsia" w:ascii="宋体" w:hAnsi="宋体" w:cs="宋体"/>
                <w:color w:val="auto"/>
                <w:szCs w:val="21"/>
                <w:lang w:eastAsia="zh-CN"/>
              </w:rPr>
              <w:t>冯永胜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火灾</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触电</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交通意外</w:t>
                  </w:r>
                </w:p>
              </w:tc>
              <w:tc>
                <w:tcPr>
                  <w:tcW w:w="3965" w:type="dxa"/>
                  <w:vAlign w:val="top"/>
                </w:tcPr>
                <w:p>
                  <w:pPr>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通过管理方案和预案措施进行管理</w:t>
                  </w:r>
                </w:p>
              </w:tc>
              <w:tc>
                <w:tcPr>
                  <w:tcW w:w="1717" w:type="dxa"/>
                  <w:vAlign w:val="top"/>
                </w:tcPr>
                <w:p>
                  <w:pPr>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szCs w:val="21"/>
                <w:highlight w:val="none"/>
                <w:lang w:val="en-US" w:eastAsia="zh-CN"/>
              </w:rPr>
              <w:t>意外交通伤害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rPr>
                  </w:pPr>
                  <w:r>
                    <w:rPr>
                      <w:rFonts w:hint="eastAsia" w:ascii="Times New Roman" w:hAnsi="Times New Roman" w:cs="Times New Roman"/>
                    </w:rPr>
                    <w:t>职业健康安全目标</w:t>
                  </w:r>
                </w:p>
              </w:tc>
              <w:tc>
                <w:tcPr>
                  <w:tcW w:w="3136" w:type="dxa"/>
                  <w:shd w:val="clear" w:color="auto" w:fill="auto"/>
                </w:tcPr>
                <w:p>
                  <w:pPr>
                    <w:rPr>
                      <w:rFonts w:hint="eastAsia" w:ascii="Times New Roman" w:hAnsi="Times New Roman" w:cs="Times New Roman"/>
                    </w:rPr>
                  </w:pPr>
                  <w:r>
                    <w:rPr>
                      <w:rFonts w:hint="eastAsia" w:ascii="Times New Roman" w:hAnsi="Times New Roman" w:cs="Times New Roman"/>
                    </w:rPr>
                    <w:t>控制措施</w:t>
                  </w:r>
                </w:p>
              </w:tc>
              <w:tc>
                <w:tcPr>
                  <w:tcW w:w="1350" w:type="dxa"/>
                  <w:shd w:val="clear" w:color="auto" w:fill="auto"/>
                </w:tcPr>
                <w:p>
                  <w:pPr>
                    <w:rPr>
                      <w:rFonts w:hint="eastAsia" w:ascii="Times New Roman" w:hAnsi="Times New Roman" w:cs="Times New Roman"/>
                    </w:rPr>
                  </w:pPr>
                  <w:r>
                    <w:rPr>
                      <w:rFonts w:hint="eastAsia" w:ascii="Times New Roman" w:hAnsi="Times New Roman" w:cs="Times New Roman"/>
                    </w:rPr>
                    <w:t>责任部门</w:t>
                  </w:r>
                </w:p>
              </w:tc>
              <w:tc>
                <w:tcPr>
                  <w:tcW w:w="1774" w:type="dxa"/>
                  <w:shd w:val="clear" w:color="auto" w:fill="auto"/>
                </w:tcPr>
                <w:p>
                  <w:pPr>
                    <w:rPr>
                      <w:rFonts w:hint="eastAsia" w:ascii="Times New Roman" w:hAnsi="Times New Roman" w:cs="Times New Roman"/>
                    </w:rPr>
                  </w:pPr>
                  <w:r>
                    <w:rPr>
                      <w:rFonts w:hint="eastAsia" w:ascii="Times New Roman" w:hAnsi="Times New Roman"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rPr>
                      <w:rFonts w:hint="eastAsia" w:ascii="宋体" w:eastAsia="宋体"/>
                    </w:rPr>
                    <w:t>火灾事故为0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yellow"/>
                      <w:lang w:val="en-US" w:eastAsia="zh-CN" w:bidi="ar-SA"/>
                    </w:rPr>
                  </w:pPr>
                  <w:r>
                    <w:rPr>
                      <w:rFonts w:hint="eastAsia" w:ascii="宋体" w:eastAsia="宋体"/>
                      <w:lang w:val="en-US" w:eastAsia="zh-CN"/>
                    </w:rPr>
                    <w:t>重伤事故</w:t>
                  </w:r>
                  <w:r>
                    <w:rPr>
                      <w:rFonts w:hint="eastAsia" w:ascii="宋体" w:eastAsia="宋体"/>
                    </w:rPr>
                    <w:t>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未发生重伤事故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3"/>
                  </w:pPr>
                </w:p>
              </w:tc>
              <w:tc>
                <w:tcPr>
                  <w:tcW w:w="3136" w:type="dxa"/>
                  <w:shd w:val="clear" w:color="auto" w:fill="auto"/>
                  <w:vAlign w:val="center"/>
                </w:tcPr>
                <w:p>
                  <w:pPr>
                    <w:rPr>
                      <w:rFonts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eastAsia="宋体" w:cs="Times New Roman"/>
                      <w:kern w:val="2"/>
                      <w:sz w:val="21"/>
                      <w:szCs w:val="24"/>
                      <w:lang w:val="en-US" w:eastAsia="zh-CN" w:bidi="ar-SA"/>
                    </w:rPr>
                  </w:pP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w:t>
            </w:r>
            <w:r>
              <w:rPr>
                <w:rFonts w:hint="eastAsia"/>
                <w:lang w:val="en-US" w:eastAsia="zh-CN"/>
              </w:rPr>
              <w:t>经营场地</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default"/>
                <w:u w:val="single"/>
                <w:lang w:val="en-US"/>
              </w:rPr>
            </w:pPr>
            <w:r>
              <w:rPr>
                <w:rFonts w:hint="eastAsia"/>
              </w:rPr>
              <w:t>主要生产设备有：</w:t>
            </w:r>
            <w:r>
              <w:rPr>
                <w:rFonts w:hint="eastAsia"/>
                <w:u w:val="single"/>
              </w:rPr>
              <w:t xml:space="preserve">  </w:t>
            </w:r>
            <w:r>
              <w:rPr>
                <w:rFonts w:hint="eastAsia"/>
                <w:highlight w:val="none"/>
                <w:u w:val="single"/>
                <w:lang w:val="en-US" w:eastAsia="zh-CN"/>
              </w:rPr>
              <w:t>电脑、打印机、空调等办公设备</w:t>
            </w:r>
          </w:p>
          <w:p>
            <w:pPr>
              <w:spacing w:line="400" w:lineRule="exact"/>
              <w:rPr>
                <w:u w:val="single"/>
              </w:rPr>
            </w:pPr>
            <w:r>
              <w:rPr>
                <w:rFonts w:hint="eastAsia"/>
              </w:rPr>
              <w:t>主要安全装置有：</w:t>
            </w:r>
            <w:r>
              <w:rPr>
                <w:rFonts w:hint="eastAsia"/>
                <w:szCs w:val="21"/>
                <w:highlight w:val="none"/>
                <w:u w:val="single"/>
              </w:rPr>
              <w:t>配电箱、空开</w:t>
            </w:r>
          </w:p>
          <w:p>
            <w:r>
              <w:rPr>
                <w:rFonts w:hint="eastAsia"/>
              </w:rPr>
              <w:t>特种设备：</w:t>
            </w:r>
            <w:r>
              <w:rPr>
                <w:rFonts w:hint="eastAsia" w:ascii="Wingdings" w:hAnsi="Wingdings"/>
                <w:u w:val="single"/>
                <w:lang w:val="en-US" w:eastAsia="zh-CN"/>
              </w:rPr>
              <w:t>无</w:t>
            </w:r>
            <w:r>
              <w:rPr>
                <w:rFonts w:hint="eastAsia"/>
              </w:rPr>
              <w:t xml:space="preserve"> </w:t>
            </w:r>
          </w:p>
          <w:p>
            <w:pPr>
              <w:rPr>
                <w:rFonts w:hint="eastAsia" w:eastAsia="宋体"/>
                <w:lang w:val="en-US" w:eastAsia="zh-CN"/>
              </w:rPr>
            </w:pPr>
            <w:r>
              <w:rPr>
                <w:rFonts w:hint="eastAsia"/>
              </w:rPr>
              <w:t>辅助场所：</w:t>
            </w:r>
            <w:r>
              <w:rPr>
                <w:rFonts w:hint="eastAsia" w:ascii="Wingdings" w:hAnsi="Wingdings"/>
                <w:u w:val="single"/>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ascii="Wingdings" w:hAnsi="Wingdings"/>
              </w:rPr>
              <w:t>¨</w:t>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eastAsia="宋体"/>
                <w:lang w:eastAsia="zh-CN"/>
              </w:rPr>
              <w:t>■</w:t>
            </w:r>
            <w:r>
              <w:rPr>
                <w:rFonts w:hint="eastAsia" w:eastAsia="宋体"/>
              </w:rPr>
              <w:t xml:space="preserve">招聘 ¨换岗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考核   ¨辅导  ¨其他</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展板   ¨其他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pPr>
              <w:rPr>
                <w:highlight w:val="none"/>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rPr>
                <w:highlight w:val="none"/>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tcPr>
                <w:p>
                  <w:pPr>
                    <w:jc w:val="left"/>
                    <w:rPr>
                      <w:highlight w:val="none"/>
                    </w:rPr>
                  </w:pP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jc w:val="left"/>
              <w:rPr>
                <w:highlight w:val="none"/>
              </w:rPr>
            </w:pP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rPr>
                <w:rFonts w:hint="eastAsia" w:eastAsia="宋体"/>
                <w:lang w:eastAsia="zh-CN"/>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最终处置 ¨其他</w:t>
            </w:r>
          </w:p>
          <w:p>
            <w:r>
              <w:rPr>
                <w:rFonts w:hint="eastAsia" w:eastAsia="宋体"/>
              </w:rPr>
              <w:t>交付后活动：</w:t>
            </w:r>
            <w:r>
              <w:rPr>
                <w:rFonts w:hint="eastAsia" w:eastAsia="宋体"/>
                <w:lang w:eastAsia="zh-CN"/>
              </w:rPr>
              <w:t>■</w:t>
            </w:r>
            <w:r>
              <w:rPr>
                <w:rFonts w:hint="eastAsia" w:eastAsia="宋体"/>
              </w:rPr>
              <w:t xml:space="preserve">符合要求 ¨存在不足，说明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rPr>
                <w:rFonts w:hint="eastAsia" w:eastAsia="宋体"/>
              </w:rPr>
            </w:pPr>
            <w:r>
              <w:rPr>
                <w:rFonts w:hint="eastAsia" w:ascii="Times New Roman" w:hAnsi="Times New Roman" w:cs="Times New Roman"/>
                <w:highlight w:val="none"/>
              </w:rPr>
              <w:t>于</w:t>
            </w:r>
            <w:r>
              <w:rPr>
                <w:rFonts w:hint="eastAsia" w:ascii="Times New Roman" w:hAnsi="Times New Roman" w:cs="Times New Roman"/>
                <w:highlight w:val="none"/>
                <w:u w:val="single"/>
                <w:lang w:val="en-US" w:eastAsia="zh-CN"/>
              </w:rPr>
              <w:t>2021</w:t>
            </w:r>
            <w:r>
              <w:rPr>
                <w:rFonts w:hint="eastAsia" w:ascii="Times New Roman" w:hAnsi="Times New Roman" w:cs="Times New Roman"/>
                <w:highlight w:val="none"/>
                <w:u w:val="single"/>
              </w:rPr>
              <w:t>年</w:t>
            </w:r>
            <w:r>
              <w:rPr>
                <w:rFonts w:hint="eastAsia" w:cs="Times New Roman"/>
                <w:highlight w:val="none"/>
                <w:u w:val="single"/>
                <w:lang w:val="en-US" w:eastAsia="zh-CN"/>
              </w:rPr>
              <w:t>12</w:t>
            </w:r>
            <w:r>
              <w:rPr>
                <w:rFonts w:hint="eastAsia" w:ascii="Times New Roman" w:hAnsi="Times New Roman" w:cs="Times New Roman"/>
                <w:highlight w:val="none"/>
                <w:u w:val="single"/>
              </w:rPr>
              <w:t>月</w:t>
            </w:r>
            <w:r>
              <w:rPr>
                <w:rFonts w:hint="eastAsia" w:cs="Times New Roman"/>
                <w:highlight w:val="none"/>
                <w:u w:val="single"/>
                <w:lang w:val="en-US" w:eastAsia="zh-CN"/>
              </w:rPr>
              <w:t>15</w:t>
            </w:r>
            <w:r>
              <w:rPr>
                <w:rFonts w:hint="eastAsia" w:ascii="Times New Roman" w:hAnsi="Times New Roman" w:cs="Times New Roman"/>
                <w:highlight w:val="none"/>
                <w:u w:val="single"/>
              </w:rPr>
              <w:t>日</w:t>
            </w:r>
            <w:r>
              <w:rPr>
                <w:rFonts w:hint="eastAsia" w:ascii="Times New Roman" w:hAnsi="Times New Roman" w:cs="Times New Roman"/>
                <w:highlight w:val="none"/>
              </w:rPr>
              <w:t>进行了</w:t>
            </w:r>
            <w:r>
              <w:rPr>
                <w:rFonts w:hint="eastAsia" w:ascii="Times New Roman" w:hAnsi="Times New Roman" w:cs="Times New Roman"/>
                <w:highlight w:val="none"/>
                <w:lang w:val="en-US" w:eastAsia="zh-CN"/>
              </w:rPr>
              <w:t>消防</w:t>
            </w:r>
            <w:r>
              <w:rPr>
                <w:rFonts w:hint="eastAsia" w:ascii="Times New Roman" w:hAnsi="Times New Roman" w:cs="Times New Roman"/>
                <w:highlight w:val="none"/>
              </w:rPr>
              <w:t>的演练</w:t>
            </w:r>
            <w:r>
              <w:rPr>
                <w:rFonts w:hint="eastAsia" w:ascii="Times New Roman" w:hAnsi="Times New Roman" w:cs="Times New Roman"/>
                <w:highlight w:val="none"/>
                <w:lang w:val="en-US" w:eastAsia="zh-CN"/>
              </w:rPr>
              <w:t>；</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rPr>
            </w:pPr>
            <w:r>
              <w:rPr>
                <w:rFonts w:hint="eastAsia" w:ascii="Times New Roman" w:hAnsi="Times New Roman" w:cs="Times New Roman"/>
              </w:rPr>
              <w:t>实施合规性评价的时间：</w:t>
            </w:r>
          </w:p>
          <w:p>
            <w:pPr>
              <w:rPr>
                <w:rFonts w:hint="eastAsia" w:ascii="Times New Roman" w:hAnsi="Times New Roman" w:cs="Times New Roman"/>
              </w:rPr>
            </w:pPr>
            <w:r>
              <w:rPr>
                <w:rFonts w:hint="eastAsia" w:ascii="Times New Roman" w:hAnsi="Times New Roman" w:cs="Times New Roman"/>
              </w:rPr>
              <w:t>¨定期（每年） ：</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w:t>
            </w:r>
            <w:r>
              <w:rPr>
                <w:rFonts w:hint="eastAsia"/>
                <w:highlight w:val="none"/>
              </w:rPr>
              <w:t>测：</w:t>
            </w:r>
            <w:r>
              <w:rPr>
                <w:rFonts w:hint="eastAsia" w:ascii="Wingdings" w:hAnsi="Wingdings"/>
                <w:highlight w:val="none"/>
              </w:rPr>
              <w:t>¨</w:t>
            </w:r>
            <w:r>
              <w:rPr>
                <w:rFonts w:hint="eastAsia"/>
                <w:highlight w:val="none"/>
              </w:rPr>
              <w:t xml:space="preserve">企业自检 </w:t>
            </w:r>
            <w:r>
              <w:rPr>
                <w:rFonts w:hint="eastAsia" w:ascii="Wingdings" w:hAnsi="Wingdings"/>
                <w:highlight w:val="none"/>
              </w:rPr>
              <w:t>¨</w:t>
            </w:r>
            <w:r>
              <w:rPr>
                <w:rFonts w:hint="eastAsia"/>
                <w:highlight w:val="none"/>
              </w:rPr>
              <w:t xml:space="preserve">第三方监测 </w:t>
            </w:r>
            <w:r>
              <w:rPr>
                <w:rFonts w:hint="eastAsia" w:ascii="Wingdings" w:hAnsi="Wingdings"/>
                <w:highlight w:val="none"/>
              </w:rPr>
              <w:t>¨</w:t>
            </w:r>
            <w:r>
              <w:rPr>
                <w:rFonts w:hint="eastAsia"/>
                <w:highlight w:val="none"/>
              </w:rPr>
              <w:t xml:space="preserve">主管部门抽查  </w:t>
            </w:r>
            <w:r>
              <w:rPr>
                <w:rFonts w:hint="eastAsia" w:ascii="Wingdings" w:hAnsi="Wingdings"/>
                <w:highlight w:val="none"/>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rPr>
              <w:t>¨</w:t>
            </w:r>
            <w:r>
              <w:rPr>
                <w:rFonts w:hint="eastAsia"/>
                <w:highlight w:val="none"/>
              </w:rPr>
              <w:t xml:space="preserve">入职 </w:t>
            </w:r>
            <w:r>
              <w:rPr>
                <w:rFonts w:hint="eastAsia" w:ascii="Wingdings" w:hAnsi="Wingdings"/>
                <w:highlight w:val="none"/>
              </w:rPr>
              <w:t>¨</w:t>
            </w:r>
            <w:r>
              <w:rPr>
                <w:rFonts w:hint="eastAsia"/>
                <w:highlight w:val="none"/>
              </w:rPr>
              <w:t xml:space="preserve">离职 </w:t>
            </w:r>
            <w:r>
              <w:rPr>
                <w:rFonts w:hint="eastAsia" w:ascii="Wingdings" w:hAnsi="Wingdings"/>
                <w:highlight w:val="none"/>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r>
              <w:rPr>
                <w:rFonts w:hint="eastAsia"/>
                <w:highlight w:val="none"/>
              </w:rPr>
              <w:t>达标评价：</w:t>
            </w:r>
            <w:r>
              <w:rPr>
                <w:rFonts w:hint="eastAsia" w:ascii="Wingdings" w:hAnsi="Wingdings"/>
                <w:highlight w:val="none"/>
              </w:rPr>
              <w:t>¨</w:t>
            </w:r>
            <w:r>
              <w:rPr>
                <w:rFonts w:hint="eastAsia"/>
                <w:highlight w:val="none"/>
              </w:rPr>
              <w:t xml:space="preserve">符合要求 </w:t>
            </w:r>
            <w:r>
              <w:rPr>
                <w:rFonts w:hint="eastAsia" w:ascii="Wingdings" w:hAnsi="Wingdings"/>
                <w:highlight w:val="none"/>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rPr>
              <w:t>组织已</w:t>
            </w:r>
            <w:r>
              <w:rPr>
                <w:rFonts w:hint="eastAsia"/>
              </w:rPr>
              <w:fldChar w:fldCharType="begin"/>
            </w:r>
            <w:r>
              <w:rPr>
                <w:rFonts w:hint="eastAsia"/>
              </w:rPr>
              <w:fldChar w:fldCharType="end"/>
            </w:r>
            <w:r>
              <w:rPr>
                <w:rFonts w:hint="eastAsia"/>
              </w:rPr>
              <w:t>通过年</w:t>
            </w:r>
            <w:r>
              <w:rPr>
                <w:rFonts w:hint="eastAsia"/>
                <w:highlight w:val="none"/>
              </w:rPr>
              <w:t>度策划于</w:t>
            </w:r>
            <w:r>
              <w:rPr>
                <w:rFonts w:hint="eastAsia" w:ascii="宋体" w:hAnsi="宋体" w:eastAsia="宋体" w:cs="宋体"/>
                <w:color w:val="auto"/>
                <w:szCs w:val="21"/>
                <w:highlight w:val="none"/>
                <w:lang w:val="en-US" w:eastAsia="zh-CN"/>
              </w:rPr>
              <w:t>2022年1月15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16日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rPr>
                <w:highlight w:val="none"/>
              </w:rPr>
            </w:pPr>
          </w:p>
          <w:p>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highlight w:val="none"/>
              </w:rPr>
              <w:t>，在</w:t>
            </w: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20</w:t>
            </w:r>
            <w:r>
              <w:rPr>
                <w:rFonts w:hint="eastAsia"/>
                <w:highlight w:val="none"/>
              </w:rPr>
              <w:t>日</w:t>
            </w:r>
            <w:r>
              <w:rPr>
                <w:rFonts w:hint="eastAsia"/>
                <w:highlight w:val="none"/>
              </w:rPr>
              <w:t>对组织的职业健康安全管理</w:t>
            </w:r>
            <w:r>
              <w:rPr>
                <w:rFonts w:hint="eastAsia"/>
              </w:rPr>
              <w:t>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tbl>
      <w:tblPr>
        <w:tblStyle w:val="9"/>
        <w:tblpPr w:leftFromText="180" w:rightFromText="180" w:vertAnchor="text" w:horzAnchor="page" w:tblpX="1186" w:tblpY="125"/>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bookmarkStart w:id="34" w:name="_GoBack"/>
      <w:bookmarkEnd w:id="34"/>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F96AAF"/>
    <w:rsid w:val="0B3E06FD"/>
    <w:rsid w:val="0B545A84"/>
    <w:rsid w:val="2A0C61C9"/>
    <w:rsid w:val="471E5DDC"/>
    <w:rsid w:val="64A02AF8"/>
    <w:rsid w:val="7CE53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2022-03-09T01:44:54Z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