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0179-2022-Q</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甘肃同盛水泥制品有限公司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605"/>
        <w:gridCol w:w="817"/>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甘肃同盛水泥制品有限公司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470" w:type="dxa"/>
            <w:gridSpan w:val="3"/>
          </w:tcPr>
          <w:p>
            <w:bookmarkStart w:id="6" w:name="注册地址"/>
            <w:r>
              <w:t>甘肃省定西市临洮县中铺镇中铺工业园区西北金泽孵化园</w:t>
            </w:r>
            <w:bookmarkEnd w:id="6"/>
          </w:p>
        </w:tc>
        <w:tc>
          <w:tcPr>
            <w:tcW w:w="817" w:type="dxa"/>
            <w:vMerge w:val="restart"/>
            <w:vAlign w:val="center"/>
          </w:tcPr>
          <w:p>
            <w:r>
              <w:rPr>
                <w:rFonts w:hint="eastAsia"/>
              </w:rPr>
              <w:t>邮编</w:t>
            </w:r>
          </w:p>
        </w:tc>
        <w:tc>
          <w:tcPr>
            <w:tcW w:w="1771" w:type="dxa"/>
          </w:tcPr>
          <w:p>
            <w:bookmarkStart w:id="7" w:name="注册邮编"/>
            <w:r>
              <w:t>730512</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470" w:type="dxa"/>
            <w:gridSpan w:val="3"/>
          </w:tcPr>
          <w:p>
            <w:bookmarkStart w:id="8" w:name="生产地址"/>
            <w:r>
              <w:t>甘肃省定西市临洮县中铺镇中铺工业园区西北金泽孵化园</w:t>
            </w:r>
            <w:bookmarkEnd w:id="8"/>
          </w:p>
        </w:tc>
        <w:tc>
          <w:tcPr>
            <w:tcW w:w="817" w:type="dxa"/>
            <w:vMerge w:val="continue"/>
            <w:vAlign w:val="center"/>
          </w:tcPr>
          <w:p/>
        </w:tc>
        <w:tc>
          <w:tcPr>
            <w:tcW w:w="1771" w:type="dxa"/>
          </w:tcPr>
          <w:p>
            <w:bookmarkStart w:id="9" w:name="办公邮编"/>
            <w:r>
              <w:t>730512</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李小兵</w:t>
            </w:r>
            <w:bookmarkEnd w:id="10"/>
          </w:p>
        </w:tc>
        <w:tc>
          <w:tcPr>
            <w:tcW w:w="1313" w:type="dxa"/>
            <w:vAlign w:val="center"/>
          </w:tcPr>
          <w:p>
            <w:r>
              <w:rPr>
                <w:rFonts w:hint="eastAsia"/>
              </w:rPr>
              <w:t>电话.</w:t>
            </w:r>
          </w:p>
        </w:tc>
        <w:tc>
          <w:tcPr>
            <w:tcW w:w="2605" w:type="dxa"/>
            <w:vAlign w:val="center"/>
          </w:tcPr>
          <w:p>
            <w:bookmarkStart w:id="11" w:name="联系人电话"/>
            <w:r>
              <w:t>18293836969</w:t>
            </w:r>
            <w:bookmarkEnd w:id="11"/>
          </w:p>
        </w:tc>
        <w:tc>
          <w:tcPr>
            <w:tcW w:w="817"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李小兵</w:t>
            </w:r>
            <w:bookmarkEnd w:id="13"/>
          </w:p>
        </w:tc>
        <w:tc>
          <w:tcPr>
            <w:tcW w:w="1313" w:type="dxa"/>
            <w:vAlign w:val="center"/>
          </w:tcPr>
          <w:p>
            <w:r>
              <w:rPr>
                <w:rFonts w:hint="eastAsia"/>
              </w:rPr>
              <w:t>管理者代表</w:t>
            </w:r>
          </w:p>
        </w:tc>
        <w:tc>
          <w:tcPr>
            <w:tcW w:w="2605" w:type="dxa"/>
          </w:tcPr>
          <w:p>
            <w:bookmarkStart w:id="14" w:name="管理者代表"/>
            <w:r>
              <w:t>李乔</w:t>
            </w:r>
            <w:bookmarkEnd w:id="14"/>
          </w:p>
        </w:tc>
        <w:tc>
          <w:tcPr>
            <w:tcW w:w="817"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color w:val="000000"/>
                <w:szCs w:val="18"/>
              </w:rPr>
            </w:pPr>
            <w:r>
              <w:rPr>
                <w:rFonts w:hint="eastAsia" w:ascii="Times New Roman" w:hAnsi="Times New Roman" w:cs="Times New Roman"/>
                <w:color w:val="000000"/>
              </w:rPr>
              <w:t>配料→搅拌→装筋→浇灌→离心成</w:t>
            </w:r>
            <w:r>
              <w:rPr>
                <w:rFonts w:hint="eastAsia" w:ascii="Times New Roman" w:hAnsi="Times New Roman" w:cs="Times New Roman"/>
                <w:color w:val="000000"/>
                <w:highlight w:val="none"/>
              </w:rPr>
              <w:t>型→</w:t>
            </w:r>
            <w:r>
              <w:rPr>
                <w:rFonts w:hint="eastAsia" w:cs="Times New Roman"/>
                <w:color w:val="000000"/>
                <w:highlight w:val="none"/>
                <w:lang w:val="en-US" w:eastAsia="zh-CN"/>
              </w:rPr>
              <w:t>自然</w:t>
            </w:r>
            <w:r>
              <w:rPr>
                <w:rFonts w:hint="eastAsia" w:ascii="Times New Roman" w:hAnsi="Times New Roman" w:cs="Times New Roman"/>
                <w:color w:val="000000"/>
                <w:highlight w:val="none"/>
              </w:rPr>
              <w:t>养护→脱</w:t>
            </w:r>
            <w:r>
              <w:rPr>
                <w:rFonts w:hint="eastAsia" w:ascii="Times New Roman" w:hAnsi="Times New Roman" w:cs="Times New Roman"/>
                <w:color w:val="000000"/>
              </w:rPr>
              <w:t>模→成品检验；</w:t>
            </w:r>
          </w:p>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2022年03月08日 上午至2022年03月09日</w:t>
            </w:r>
            <w:bookmarkEnd w:id="15"/>
            <w:r>
              <w:rPr>
                <w:rFonts w:hint="eastAsia"/>
              </w:rPr>
              <w:t>上午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val="de-DE"/>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lang w:val="de-DE"/>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甘肃省定西市临洮县中铺镇中铺工业园区西北金泽孵化园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环形混凝土电杆的生产</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16.02.01</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lang w:val="de-DE"/>
              </w:rPr>
              <w:t>■</w:t>
            </w:r>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ascii="Times New Roman" w:hAnsi="Times New Roman" w:eastAsia="宋体" w:cs="Times New Roman"/>
                <w:lang w:val="en-US" w:eastAsia="zh-CN"/>
              </w:rPr>
              <w:t>2021</w:t>
            </w:r>
            <w:r>
              <w:rPr>
                <w:rFonts w:hint="eastAsia" w:ascii="Times New Roman" w:hAnsi="Times New Roman" w:eastAsia="宋体" w:cs="Times New Roman"/>
              </w:rPr>
              <w:t>年</w:t>
            </w:r>
            <w:r>
              <w:rPr>
                <w:rFonts w:hint="eastAsia" w:ascii="Times New Roman" w:hAnsi="Times New Roman" w:eastAsia="宋体" w:cs="Times New Roman"/>
                <w:lang w:val="en-US" w:eastAsia="zh-CN"/>
              </w:rPr>
              <w:t>9</w:t>
            </w:r>
            <w:r>
              <w:rPr>
                <w:rFonts w:hint="eastAsia" w:ascii="Times New Roman" w:hAnsi="Times New Roman" w:eastAsia="宋体" w:cs="Times New Roman"/>
              </w:rPr>
              <w:t>月</w:t>
            </w:r>
            <w:r>
              <w:rPr>
                <w:rFonts w:hint="eastAsia" w:ascii="Times New Roman" w:hAnsi="Times New Roman" w:eastAsia="宋体" w:cs="Times New Roman"/>
                <w:lang w:val="en-US" w:eastAsia="zh-CN"/>
              </w:rPr>
              <w:t>20</w:t>
            </w:r>
            <w:r>
              <w:rPr>
                <w:rFonts w:hint="eastAsia" w:ascii="Times New Roman" w:hAnsi="Times New Roman" w:eastAsia="宋体" w:cs="Times New Roman"/>
              </w:rPr>
              <w:t>日</w:t>
            </w:r>
          </w:p>
        </w:tc>
        <w:tc>
          <w:tcPr>
            <w:tcW w:w="1883" w:type="dxa"/>
            <w:vAlign w:val="center"/>
          </w:tcPr>
          <w:p>
            <w:r>
              <w:rPr>
                <w:rFonts w:hint="eastAsia"/>
              </w:rPr>
              <w:t>管理体系运行已超过3个月</w:t>
            </w:r>
          </w:p>
        </w:tc>
        <w:tc>
          <w:tcPr>
            <w:tcW w:w="3215" w:type="dxa"/>
            <w:vAlign w:val="center"/>
          </w:tcPr>
          <w:p>
            <w:r>
              <w:rPr>
                <w:rFonts w:hint="eastAsia"/>
                <w:lang w:val="de-DE"/>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pPr>
            <w:r>
              <w:t>甘肃同盛水泥制品有限公司</w:t>
            </w:r>
          </w:p>
          <w:p>
            <w:pPr>
              <w:pStyle w:val="2"/>
              <w:rPr>
                <w:rFonts w:ascii="Times New Roman" w:hAnsi="Times New Roman" w:eastAsia="宋体" w:cs="Times New Roman"/>
                <w:bCs/>
                <w:spacing w:val="10"/>
                <w:kern w:val="2"/>
                <w:sz w:val="21"/>
                <w:szCs w:val="24"/>
                <w:lang w:val="de-DE" w:eastAsia="ja-JP" w:bidi="ar-SA"/>
              </w:rPr>
            </w:pPr>
            <w:r>
              <w:rPr>
                <w:sz w:val="21"/>
                <w:szCs w:val="21"/>
              </w:rPr>
              <w:t>甘肃省定西市临洮县中铺镇中铺工业园区西北金泽孵化园</w:t>
            </w:r>
          </w:p>
        </w:tc>
        <w:tc>
          <w:tcPr>
            <w:tcW w:w="2267" w:type="dxa"/>
            <w:vAlign w:val="top"/>
          </w:tcPr>
          <w:p>
            <w:pPr>
              <w:spacing w:before="40" w:after="40"/>
              <w:rPr>
                <w:rFonts w:ascii="Times New Roman" w:hAnsi="Times New Roman" w:eastAsia="黑体" w:cs="Times New Roman"/>
                <w:kern w:val="2"/>
                <w:sz w:val="21"/>
                <w:szCs w:val="21"/>
                <w:lang w:val="de-DE" w:eastAsia="ja-JP" w:bidi="ar-SA"/>
              </w:rPr>
            </w:pPr>
            <w:r>
              <w:rPr>
                <w:sz w:val="21"/>
                <w:szCs w:val="21"/>
              </w:rPr>
              <w:t>甘肃省定西市临洮县中铺镇中铺工业园区西北金泽孵化园</w:t>
            </w:r>
          </w:p>
        </w:tc>
        <w:tc>
          <w:tcPr>
            <w:tcW w:w="571"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13</w:t>
            </w:r>
          </w:p>
        </w:tc>
        <w:tc>
          <w:tcPr>
            <w:tcW w:w="2803" w:type="dxa"/>
            <w:vAlign w:val="center"/>
          </w:tcPr>
          <w:p>
            <w:pPr>
              <w:pStyle w:val="20"/>
              <w:rPr>
                <w:rFonts w:ascii="Times New Roman" w:hAnsi="Times New Roman" w:eastAsia="黑体" w:cs="Arial"/>
                <w:kern w:val="2"/>
                <w:sz w:val="21"/>
                <w:szCs w:val="21"/>
                <w:lang w:val="en-US" w:eastAsia="ja-JP" w:bidi="ar-SA"/>
              </w:rPr>
            </w:pPr>
            <w:r>
              <w:rPr>
                <w:rFonts w:ascii="Times New Roman" w:hAnsi="Times New Roman" w:eastAsia="宋体" w:cs="Times New Roman"/>
                <w:kern w:val="2"/>
                <w:sz w:val="21"/>
                <w:szCs w:val="21"/>
                <w:lang w:val="en-US" w:eastAsia="zh-CN" w:bidi="ar-SA"/>
              </w:rPr>
              <w:t>环形混凝土电杆的生产</w:t>
            </w:r>
          </w:p>
        </w:tc>
        <w:tc>
          <w:tcPr>
            <w:tcW w:w="669" w:type="dxa"/>
            <w:vAlign w:val="center"/>
          </w:tcPr>
          <w:p>
            <w:pPr>
              <w:spacing w:before="40" w:after="40"/>
              <w:rPr>
                <w:rFonts w:ascii="Times New Roman" w:hAnsi="Times New Roman" w:eastAsia="黑体" w:cs="Times New Roman"/>
                <w:kern w:val="2"/>
                <w:sz w:val="21"/>
                <w:szCs w:val="21"/>
                <w:lang w:val="en-US" w:eastAsia="ja-JP" w:bidi="ar-SA"/>
              </w:rPr>
            </w:pPr>
            <w:r>
              <w:rPr>
                <w:rFonts w:hint="eastAsia" w:ascii="Times New Roman" w:hAnsi="Times New Roman" w:eastAsia="宋体" w:cs="Times New Roman"/>
                <w:kern w:val="2"/>
                <w:sz w:val="21"/>
                <w:szCs w:val="21"/>
                <w:lang w:val="en-US" w:eastAsia="zh-CN" w:bidi="ar-SA"/>
              </w:rPr>
              <w:t>GB/T19001-2016/ISO9001:2015</w:t>
            </w: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val="de-DE"/>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r>
              <w:t>安涛</w:t>
            </w:r>
          </w:p>
        </w:tc>
        <w:tc>
          <w:tcPr>
            <w:tcW w:w="1089" w:type="dxa"/>
            <w:vAlign w:val="center"/>
          </w:tcPr>
          <w:p>
            <w:r>
              <w:t>组长</w:t>
            </w:r>
          </w:p>
        </w:tc>
        <w:tc>
          <w:tcPr>
            <w:tcW w:w="711" w:type="dxa"/>
            <w:vAlign w:val="center"/>
          </w:tcPr>
          <w:p>
            <w:r>
              <w:t>男</w:t>
            </w:r>
          </w:p>
        </w:tc>
        <w:tc>
          <w:tcPr>
            <w:tcW w:w="3870" w:type="dxa"/>
            <w:vAlign w:val="center"/>
          </w:tcPr>
          <w:p>
            <w:r>
              <w:t>2020-N1QMS-2211720</w:t>
            </w:r>
          </w:p>
        </w:tc>
        <w:tc>
          <w:tcPr>
            <w:tcW w:w="2179" w:type="dxa"/>
            <w:vAlign w:val="center"/>
          </w:tcPr>
          <w:p>
            <w:r>
              <w:t>16.02.01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val="de-DE"/>
        </w:rPr>
        <w:t>■</w:t>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val="de-DE"/>
              </w:rPr>
              <w:t>■</w:t>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bookmarkStart w:id="34" w:name="_GoBack"/>
            <w:bookmarkEnd w:id="34"/>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val="de-DE"/>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val="de-DE"/>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shd w:val="clear" w:color="auto" w:fill="auto"/>
          </w:tcPr>
          <w:p>
            <w:r>
              <w:rPr>
                <w:rFonts w:hint="eastAsia"/>
              </w:rPr>
              <w:t>推荐内容</w:t>
            </w:r>
          </w:p>
        </w:tc>
        <w:tc>
          <w:tcPr>
            <w:tcW w:w="8350" w:type="dxa"/>
            <w:gridSpan w:val="2"/>
            <w:shd w:val="clear" w:color="auto" w:fill="auto"/>
          </w:tcPr>
          <w:p>
            <w:pPr>
              <w:rPr>
                <w:rFonts w:hint="eastAsia" w:eastAsia="宋体"/>
                <w:lang w:eastAsia="zh-CN"/>
              </w:rPr>
            </w:pPr>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rFonts w:hint="default" w:eastAsia="宋体"/>
                <w:color w:val="0000FF"/>
                <w:lang w:val="en-US" w:eastAsia="zh-CN"/>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eastAsia="宋体"/>
                <w:lang w:eastAsia="zh-CN"/>
              </w:rPr>
              <w:drawing>
                <wp:anchor distT="0" distB="0" distL="114300" distR="114300" simplePos="0" relativeHeight="251662336" behindDoc="1" locked="0" layoutInCell="1" allowOverlap="1">
                  <wp:simplePos x="0" y="0"/>
                  <wp:positionH relativeFrom="column">
                    <wp:posOffset>260350</wp:posOffset>
                  </wp:positionH>
                  <wp:positionV relativeFrom="paragraph">
                    <wp:posOffset>62230</wp:posOffset>
                  </wp:positionV>
                  <wp:extent cx="598805" cy="281940"/>
                  <wp:effectExtent l="0" t="0" r="0" b="6985"/>
                  <wp:wrapNone/>
                  <wp:docPr id="2" name="图片 2" descr="安涛签名透明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安涛签名透明1"/>
                          <pic:cNvPicPr>
                            <a:picLocks noChangeAspect="1"/>
                          </pic:cNvPicPr>
                        </pic:nvPicPr>
                        <pic:blipFill>
                          <a:blip r:embed="rId6"/>
                          <a:stretch>
                            <a:fillRect/>
                          </a:stretch>
                        </pic:blipFill>
                        <pic:spPr>
                          <a:xfrm>
                            <a:off x="0" y="0"/>
                            <a:ext cx="598805" cy="281940"/>
                          </a:xfrm>
                          <a:prstGeom prst="rect">
                            <a:avLst/>
                          </a:prstGeom>
                        </pic:spPr>
                      </pic:pic>
                    </a:graphicData>
                  </a:graphic>
                </wp:anchor>
              </w:drawing>
            </w:r>
          </w:p>
          <w:p/>
        </w:tc>
        <w:tc>
          <w:tcPr>
            <w:tcW w:w="2764" w:type="dxa"/>
            <w:tcMar>
              <w:left w:w="113" w:type="dxa"/>
            </w:tcMar>
          </w:tcPr>
          <w:p>
            <w:pPr>
              <w:rPr>
                <w:color w:val="auto"/>
              </w:rPr>
            </w:pPr>
            <w:r>
              <w:rPr>
                <w:rFonts w:hint="eastAsia"/>
                <w:color w:val="auto"/>
              </w:rPr>
              <w:t>日期</w:t>
            </w:r>
          </w:p>
        </w:tc>
        <w:tc>
          <w:tcPr>
            <w:tcW w:w="2766" w:type="dxa"/>
            <w:tcMar>
              <w:left w:w="113" w:type="dxa"/>
            </w:tcMar>
            <w:vAlign w:val="center"/>
          </w:tcPr>
          <w:p>
            <w:pPr>
              <w:rPr>
                <w:rFonts w:hint="default" w:ascii="宋体" w:eastAsia="宋体"/>
                <w:b/>
                <w:color w:val="auto"/>
                <w:szCs w:val="21"/>
                <w:lang w:val="en-US" w:eastAsia="zh-CN"/>
              </w:rPr>
            </w:pPr>
            <w:r>
              <w:rPr>
                <w:rFonts w:hint="eastAsia" w:ascii="宋体"/>
                <w:b/>
                <w:color w:val="auto"/>
                <w:szCs w:val="21"/>
                <w:lang w:val="en-US" w:eastAsia="zh-CN"/>
              </w:rPr>
              <w:t>2022.3.9</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vAlign w:val="top"/>
                </w:tcPr>
                <w:p>
                  <w:pPr>
                    <w:shd w:val="clear" w:color="auto" w:fill="C7DAF1" w:themeFill="text2" w:themeFillTint="32"/>
                  </w:pPr>
                  <w:r>
                    <w:rPr>
                      <w:rFonts w:hint="eastAsia"/>
                    </w:rPr>
                    <w:t>■法律法规 ■技术 ■竞争 ■市场 ■文化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vAlign w:val="top"/>
                </w:tcPr>
                <w:p>
                  <w:pPr>
                    <w:shd w:val="clear" w:color="auto" w:fill="C7DAF1" w:themeFill="text2" w:themeFillTint="32"/>
                  </w:pPr>
                  <w:r>
                    <w:rPr>
                      <w:rFonts w:hint="eastAsia"/>
                    </w:rPr>
                    <w:t xml:space="preserve">■价值观  ■文化  ■知识 ■绩效 ■工艺 ■设备 ■人员能力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 xml:space="preserve">□市场拓展 ■设备能力 ■人员能力 ■检测水平■合同评审 □知识保密 </w:t>
            </w:r>
          </w:p>
          <w:p>
            <w:pPr>
              <w:shd w:val="clear" w:color="auto" w:fill="C7DAF1" w:themeFill="text2" w:themeFillTint="32"/>
              <w:spacing w:before="40" w:after="40"/>
            </w:pPr>
            <w:r>
              <w:rPr>
                <w:rFonts w:hint="eastAsia"/>
              </w:rPr>
              <w:t>□新产品设计开发 ■原材料采购 ■外部供方控制 ■生产/服务控制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 ■建立机制■法规宣传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rFonts w:hint="eastAsia" w:ascii="Times New Roman" w:hAnsi="Times New Roman" w:eastAsia="宋体" w:cs="Times New Roman"/>
              </w:rPr>
            </w:pPr>
            <w:r>
              <w:rPr>
                <w:rFonts w:hint="eastAsia" w:ascii="Times New Roman" w:hAnsi="Times New Roman" w:eastAsia="宋体" w:cs="Times New Roman"/>
              </w:rPr>
              <w:t>专业生产，精益求精；持续创新，优质服务。</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eastAsia="zh-CN"/>
              </w:rPr>
              <w:t>综合管理部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rPr>
                <w:rFonts w:hint="eastAsia"/>
              </w:rPr>
            </w:pPr>
          </w:p>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1"/>
              <w:gridCol w:w="5596"/>
              <w:gridCol w:w="1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tcPr>
                <w:p>
                  <w:pPr>
                    <w:shd w:val="clear" w:color="auto" w:fill="C7DAF1" w:themeFill="text2" w:themeFillTint="32"/>
                  </w:pPr>
                  <w:r>
                    <w:rPr>
                      <w:rFonts w:hint="eastAsia"/>
                    </w:rPr>
                    <w:t>主要的风险或机遇描述</w:t>
                  </w:r>
                </w:p>
              </w:tc>
              <w:tc>
                <w:tcPr>
                  <w:tcW w:w="5596" w:type="dxa"/>
                </w:tcPr>
                <w:p>
                  <w:pPr>
                    <w:shd w:val="clear" w:color="auto" w:fill="C7DAF1" w:themeFill="text2" w:themeFillTint="32"/>
                  </w:pPr>
                  <w:r>
                    <w:rPr>
                      <w:rFonts w:hint="eastAsia"/>
                    </w:rPr>
                    <w:t>应对措施</w:t>
                  </w:r>
                </w:p>
              </w:tc>
              <w:tc>
                <w:tcPr>
                  <w:tcW w:w="1415"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订单评审过程</w:t>
                  </w:r>
                </w:p>
              </w:tc>
              <w:tc>
                <w:tcPr>
                  <w:tcW w:w="5596"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1、对客户的要求</w:t>
                  </w:r>
                  <w:r>
                    <w:rPr>
                      <w:rFonts w:hint="eastAsia" w:ascii="宋体" w:hAnsi="宋体" w:cs="宋体"/>
                      <w:color w:val="000000"/>
                      <w:kern w:val="0"/>
                      <w:sz w:val="20"/>
                      <w:szCs w:val="20"/>
                      <w:lang w:eastAsia="zh-CN"/>
                    </w:rPr>
                    <w:t>综合管理部</w:t>
                  </w:r>
                  <w:r>
                    <w:rPr>
                      <w:rFonts w:hint="eastAsia" w:ascii="宋体" w:hAnsi="宋体" w:cs="宋体"/>
                      <w:color w:val="000000"/>
                      <w:kern w:val="0"/>
                      <w:sz w:val="20"/>
                      <w:szCs w:val="20"/>
                    </w:rPr>
                    <w:t>组织相关部门进行识别；</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2、在确定与客户签署合同前落实合同评审事宜。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相关文件：《与顾客有关的过程控制程序》</w:t>
                  </w:r>
                </w:p>
              </w:tc>
              <w:tc>
                <w:tcPr>
                  <w:tcW w:w="1415"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生产过程</w:t>
                  </w:r>
                </w:p>
              </w:tc>
              <w:tc>
                <w:tcPr>
                  <w:tcW w:w="5596"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1、合理安排生产计划；销售人员每日</w:t>
                  </w:r>
                  <w:r>
                    <w:rPr>
                      <w:rFonts w:hint="eastAsia" w:ascii="宋体" w:hAnsi="宋体" w:cs="宋体"/>
                      <w:color w:val="000000"/>
                      <w:kern w:val="0"/>
                      <w:sz w:val="20"/>
                      <w:szCs w:val="20"/>
                      <w:lang w:val="en-US" w:eastAsia="zh-CN"/>
                    </w:rPr>
                    <w:t>全程</w:t>
                  </w:r>
                  <w:r>
                    <w:rPr>
                      <w:rFonts w:hint="eastAsia" w:ascii="宋体" w:hAnsi="宋体" w:cs="宋体"/>
                      <w:color w:val="000000"/>
                      <w:kern w:val="0"/>
                      <w:sz w:val="20"/>
                      <w:szCs w:val="20"/>
                    </w:rPr>
                    <w:t>跟踪生产计划的进度；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2、制定安全库存；</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3、不良率指标监控，及时采用纠正预防措施；</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4、产品执行批次和标识管理；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相关文件：《生产和服务提供控制程序》；《不合格品控制程序》</w:t>
                  </w:r>
                </w:p>
              </w:tc>
              <w:tc>
                <w:tcPr>
                  <w:tcW w:w="141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交付和顾客反馈过程</w:t>
                  </w:r>
                </w:p>
              </w:tc>
              <w:tc>
                <w:tcPr>
                  <w:tcW w:w="5596"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1、安全库存；生产计划每日统计达成；产品，成品出货检验；</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2、客户投诉台账，</w:t>
                  </w:r>
                  <w:r>
                    <w:rPr>
                      <w:rFonts w:hint="eastAsia" w:ascii="宋体" w:hAnsi="宋体" w:cs="宋体"/>
                      <w:color w:val="000000"/>
                      <w:kern w:val="0"/>
                      <w:sz w:val="20"/>
                      <w:szCs w:val="20"/>
                      <w:lang w:val="en-US" w:eastAsia="zh-CN"/>
                    </w:rPr>
                    <w:t>综合管理部</w:t>
                  </w:r>
                  <w:r>
                    <w:rPr>
                      <w:rFonts w:hint="eastAsia" w:ascii="宋体" w:hAnsi="宋体" w:cs="宋体"/>
                      <w:color w:val="000000"/>
                      <w:kern w:val="0"/>
                      <w:sz w:val="20"/>
                      <w:szCs w:val="20"/>
                    </w:rPr>
                    <w:t>专人负责处理并及时回复客户，保存相应证据；</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3、顾客满意度设立监控指标，每年至少调查分析一次；</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相关文件：《顾客满意程度测量控制程序》、《纠正措施控制程序》</w:t>
                  </w:r>
                </w:p>
              </w:tc>
              <w:tc>
                <w:tcPr>
                  <w:tcW w:w="141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管理评审过程</w:t>
                  </w:r>
                </w:p>
              </w:tc>
              <w:tc>
                <w:tcPr>
                  <w:tcW w:w="5596"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1、管理评审计划的输入项要分配到相应的责任部门，总经理批准进行确认；</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2、管理评审输出改进项，下一次管理当作输入项，总经理进行评审确认。</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相关文件：《管理评审控制程序》</w:t>
                  </w:r>
                </w:p>
              </w:tc>
              <w:tc>
                <w:tcPr>
                  <w:tcW w:w="141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采购过程</w:t>
                  </w:r>
                </w:p>
              </w:tc>
              <w:tc>
                <w:tcPr>
                  <w:tcW w:w="5596"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1、开发建立备用供方以及供方淘汰制度；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2、供应商业绩定期评价，对供方进行考核和扣款等；</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3、建立原辅材料安全库存；</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相关文件：《采购控制程序》</w:t>
                  </w:r>
                </w:p>
              </w:tc>
              <w:tc>
                <w:tcPr>
                  <w:tcW w:w="0" w:type="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检验过程</w:t>
                  </w:r>
                </w:p>
              </w:tc>
              <w:tc>
                <w:tcPr>
                  <w:tcW w:w="5596"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1、进货检验</w:t>
                  </w:r>
                  <w:r>
                    <w:rPr>
                      <w:rFonts w:hint="eastAsia" w:ascii="宋体" w:hAnsi="宋体" w:cs="宋体"/>
                      <w:color w:val="000000"/>
                      <w:kern w:val="0"/>
                      <w:sz w:val="20"/>
                      <w:szCs w:val="20"/>
                      <w:lang w:val="en-US" w:eastAsia="zh-CN"/>
                    </w:rPr>
                    <w:t>制度</w:t>
                  </w:r>
                  <w:r>
                    <w:rPr>
                      <w:rFonts w:hint="eastAsia" w:ascii="宋体" w:hAnsi="宋体" w:cs="宋体"/>
                      <w:color w:val="000000"/>
                      <w:kern w:val="0"/>
                      <w:sz w:val="20"/>
                      <w:szCs w:val="20"/>
                    </w:rPr>
                    <w:t>，规定抽样方案和接收、判退规定；</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2、工艺文件规定</w:t>
                  </w:r>
                  <w:r>
                    <w:rPr>
                      <w:rFonts w:hint="eastAsia" w:ascii="宋体" w:hAnsi="宋体" w:cs="宋体"/>
                      <w:color w:val="000000"/>
                      <w:kern w:val="0"/>
                      <w:sz w:val="20"/>
                      <w:szCs w:val="20"/>
                      <w:lang w:val="en-US" w:eastAsia="zh-CN"/>
                    </w:rPr>
                    <w:t>抽样点、时间</w:t>
                  </w:r>
                  <w:r>
                    <w:rPr>
                      <w:rFonts w:hint="eastAsia" w:ascii="宋体" w:hAnsi="宋体" w:cs="宋体"/>
                      <w:color w:val="000000"/>
                      <w:kern w:val="0"/>
                      <w:sz w:val="20"/>
                      <w:szCs w:val="20"/>
                    </w:rPr>
                    <w:t>检验制度</w:t>
                  </w:r>
                  <w:r>
                    <w:rPr>
                      <w:rFonts w:hint="eastAsia" w:ascii="宋体" w:hAnsi="宋体" w:cs="宋体"/>
                      <w:color w:val="000000"/>
                      <w:kern w:val="0"/>
                      <w:sz w:val="20"/>
                      <w:szCs w:val="20"/>
                      <w:lang w:eastAsia="zh-CN"/>
                    </w:rPr>
                    <w:t>；</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3、成品检验指导书，规定抽样方案和接收、判退规定；</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相关文件：《产品的监视和测量控制程序》</w:t>
                  </w:r>
                </w:p>
              </w:tc>
              <w:tc>
                <w:tcPr>
                  <w:tcW w:w="0" w:type="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设备管理过程</w:t>
                  </w:r>
                </w:p>
              </w:tc>
              <w:tc>
                <w:tcPr>
                  <w:tcW w:w="5596"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1、设备建立日常保养制度、定期保养计划；</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2、设备产能分析；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3、设备建立易损件备品备件清单；</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相关文件：《设施和工作环境控制程序》</w:t>
                  </w:r>
                </w:p>
              </w:tc>
              <w:tc>
                <w:tcPr>
                  <w:tcW w:w="0" w:type="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甘肃市场及基础建设需求增大带来机遇</w:t>
                  </w:r>
                </w:p>
              </w:tc>
              <w:tc>
                <w:tcPr>
                  <w:tcW w:w="5596"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保证生产能力、提高业务人员水平</w:t>
                  </w:r>
                </w:p>
              </w:tc>
              <w:tc>
                <w:tcPr>
                  <w:tcW w:w="0" w:type="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bl>
          <w:p>
            <w:pPr>
              <w:shd w:val="clear" w:color="auto" w:fill="C7DAF1" w:themeFill="text2" w:themeFillTint="32"/>
            </w:pPr>
          </w:p>
          <w:p>
            <w:pPr>
              <w:pStyle w:val="2"/>
            </w:pPr>
          </w:p>
          <w:p>
            <w:pPr>
              <w:pStyle w:val="2"/>
            </w:pPr>
          </w:p>
          <w:p>
            <w:pPr>
              <w:pStyle w:val="2"/>
            </w:pP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eastAsia="宋体" w:cs="Times New Roman"/>
                    </w:rPr>
                    <w:t>成品交检合格率≥9</w:t>
                  </w:r>
                  <w:r>
                    <w:rPr>
                      <w:rFonts w:hint="eastAsia" w:ascii="宋体" w:hAnsi="宋体" w:eastAsia="宋体" w:cs="Times New Roman"/>
                      <w:lang w:val="en-US" w:eastAsia="zh-CN"/>
                    </w:rPr>
                    <w:t>2</w:t>
                  </w:r>
                  <w:r>
                    <w:rPr>
                      <w:rFonts w:hint="eastAsia" w:ascii="宋体" w:hAnsi="宋体" w:eastAsia="宋体" w:cs="Times New Roman"/>
                    </w:rPr>
                    <w:t>%</w:t>
                  </w:r>
                </w:p>
              </w:tc>
              <w:tc>
                <w:tcPr>
                  <w:tcW w:w="3136" w:type="dxa"/>
                  <w:shd w:val="clear" w:color="auto" w:fill="auto"/>
                  <w:vAlign w:val="center"/>
                </w:tcPr>
                <w:p>
                  <w:pPr>
                    <w:shd w:val="clear" w:color="auto" w:fill="C7DAF1" w:themeFill="text2" w:themeFillTint="32"/>
                    <w:rPr>
                      <w:rFonts w:ascii="Times New Roman" w:hAnsi="Times New Roman" w:eastAsia="宋体" w:cs="Times New Roman"/>
                      <w:kern w:val="2"/>
                      <w:sz w:val="21"/>
                      <w:szCs w:val="24"/>
                      <w:lang w:val="en-GB" w:eastAsia="zh-CN" w:bidi="ar-SA"/>
                    </w:rPr>
                  </w:pPr>
                  <w:r>
                    <w:rPr>
                      <w:rFonts w:hint="eastAsia" w:eastAsia="宋体"/>
                    </w:rPr>
                    <w:t>成品一次交检合格率=（成品一次交检合格批数/交检总批数）×100%</w:t>
                  </w:r>
                </w:p>
              </w:tc>
              <w:tc>
                <w:tcPr>
                  <w:tcW w:w="1350" w:type="dxa"/>
                  <w:shd w:val="clear" w:color="auto" w:fill="auto"/>
                  <w:vAlign w:val="center"/>
                </w:tcPr>
                <w:p>
                  <w:pPr>
                    <w:shd w:val="clear" w:color="auto" w:fill="C7DAF1" w:themeFill="text2" w:themeFillTint="32"/>
                    <w:rPr>
                      <w:rFonts w:ascii="Times New Roman" w:hAnsi="Times New Roman" w:eastAsia="宋体" w:cs="Times New Roman"/>
                      <w:kern w:val="2"/>
                      <w:sz w:val="21"/>
                      <w:szCs w:val="24"/>
                      <w:lang w:val="en-GB" w:eastAsia="zh-CN" w:bidi="ar-SA"/>
                    </w:rPr>
                  </w:pPr>
                  <w:r>
                    <w:rPr>
                      <w:rFonts w:hint="eastAsia"/>
                      <w:lang w:val="en-US" w:eastAsia="zh-CN"/>
                    </w:rPr>
                    <w:t>生产技术部</w:t>
                  </w:r>
                </w:p>
              </w:tc>
              <w:tc>
                <w:tcPr>
                  <w:tcW w:w="1774" w:type="dxa"/>
                  <w:shd w:val="clear" w:color="auto" w:fill="auto"/>
                  <w:vAlign w:val="center"/>
                </w:tcPr>
                <w:p>
                  <w:pPr>
                    <w:shd w:val="clear" w:color="auto" w:fill="C7DAF1" w:themeFill="text2" w:themeFillTint="32"/>
                    <w:jc w:val="center"/>
                    <w:rPr>
                      <w:rFonts w:ascii="宋体" w:hAnsi="宋体" w:eastAsia="宋体" w:cs="Times New Roman"/>
                      <w:kern w:val="2"/>
                      <w:sz w:val="21"/>
                      <w:szCs w:val="24"/>
                      <w:lang w:val="en-GB" w:eastAsia="zh-CN" w:bidi="ar-SA"/>
                    </w:rPr>
                  </w:pPr>
                  <w:r>
                    <w:rPr>
                      <w:rFonts w:hint="eastAsia" w:eastAsia="宋体"/>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eastAsia="宋体" w:cs="Times New Roman"/>
                      <w:lang w:eastAsia="zh-CN"/>
                    </w:rPr>
                    <w:t>产品</w:t>
                  </w:r>
                  <w:r>
                    <w:rPr>
                      <w:rFonts w:hint="eastAsia" w:ascii="宋体" w:hAnsi="宋体" w:eastAsia="宋体" w:cs="Times New Roman"/>
                    </w:rPr>
                    <w:t>准时交货率≥95%</w:t>
                  </w:r>
                </w:p>
              </w:tc>
              <w:tc>
                <w:tcPr>
                  <w:tcW w:w="3136" w:type="dxa"/>
                  <w:shd w:val="clear" w:color="auto" w:fill="auto"/>
                  <w:vAlign w:val="center"/>
                </w:tcPr>
                <w:p>
                  <w:pPr>
                    <w:shd w:val="clear" w:color="auto" w:fill="C7DAF1" w:themeFill="text2" w:themeFillTint="32"/>
                    <w:rPr>
                      <w:rFonts w:ascii="宋体" w:hAnsi="宋体" w:eastAsia="宋体" w:cs="Times New Roman"/>
                      <w:kern w:val="2"/>
                      <w:sz w:val="21"/>
                      <w:szCs w:val="24"/>
                      <w:lang w:val="en-US" w:eastAsia="zh-CN" w:bidi="ar-SA"/>
                    </w:rPr>
                  </w:pPr>
                  <w:r>
                    <w:rPr>
                      <w:rFonts w:hint="eastAsia" w:eastAsia="宋体"/>
                    </w:rPr>
                    <w:t>准时交货率=（准时交货批数/交货总批数）×100%</w:t>
                  </w:r>
                </w:p>
              </w:tc>
              <w:tc>
                <w:tcPr>
                  <w:tcW w:w="1350" w:type="dxa"/>
                  <w:shd w:val="clear" w:color="auto" w:fill="auto"/>
                  <w:vAlign w:val="center"/>
                </w:tcPr>
                <w:p>
                  <w:pPr>
                    <w:shd w:val="clear" w:color="auto" w:fill="C7DAF1" w:themeFill="text2" w:themeFillTint="32"/>
                    <w:rPr>
                      <w:rFonts w:ascii="宋体" w:hAnsi="宋体" w:eastAsia="宋体" w:cs="Times New Roman"/>
                      <w:kern w:val="2"/>
                      <w:sz w:val="21"/>
                      <w:szCs w:val="24"/>
                      <w:lang w:val="en-US" w:eastAsia="zh-CN" w:bidi="ar-SA"/>
                    </w:rPr>
                  </w:pPr>
                  <w:r>
                    <w:rPr>
                      <w:rFonts w:hint="eastAsia" w:ascii="宋体" w:hAnsi="宋体"/>
                      <w:lang w:val="en-US" w:eastAsia="zh-CN"/>
                    </w:rPr>
                    <w:t>生产技术部</w:t>
                  </w:r>
                </w:p>
              </w:tc>
              <w:tc>
                <w:tcPr>
                  <w:tcW w:w="1774" w:type="dxa"/>
                  <w:shd w:val="clear" w:color="auto" w:fill="auto"/>
                  <w:vAlign w:val="center"/>
                </w:tcPr>
                <w:p>
                  <w:pPr>
                    <w:shd w:val="clear" w:color="auto" w:fill="C7DAF1" w:themeFill="text2" w:themeFillTint="32"/>
                    <w:jc w:val="center"/>
                    <w:rPr>
                      <w:rFonts w:ascii="宋体" w:hAnsi="宋体" w:eastAsia="宋体" w:cs="Times New Roman"/>
                      <w:kern w:val="2"/>
                      <w:sz w:val="21"/>
                      <w:szCs w:val="24"/>
                      <w:lang w:val="en-US" w:eastAsia="zh-CN" w:bidi="ar-SA"/>
                    </w:rPr>
                  </w:pPr>
                  <w:r>
                    <w:rPr>
                      <w:rFonts w:hint="eastAsia" w:eastAsia="宋体"/>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eastAsia="宋体" w:cs="Times New Roman"/>
                    </w:rPr>
                    <w:t>顾客投诉次数≤</w:t>
                  </w:r>
                  <w:r>
                    <w:rPr>
                      <w:rFonts w:hint="eastAsia" w:ascii="宋体" w:hAnsi="宋体" w:eastAsia="宋体" w:cs="Times New Roman"/>
                      <w:lang w:val="en-US" w:eastAsia="zh-CN"/>
                    </w:rPr>
                    <w:t>8</w:t>
                  </w:r>
                  <w:r>
                    <w:rPr>
                      <w:rFonts w:hint="eastAsia" w:ascii="宋体" w:hAnsi="宋体" w:eastAsia="宋体" w:cs="Times New Roman"/>
                    </w:rPr>
                    <w:t>次/年</w:t>
                  </w:r>
                </w:p>
              </w:tc>
              <w:tc>
                <w:tcPr>
                  <w:tcW w:w="3136" w:type="dxa"/>
                  <w:shd w:val="clear" w:color="auto" w:fill="auto"/>
                  <w:vAlign w:val="center"/>
                </w:tcPr>
                <w:p>
                  <w:pPr>
                    <w:shd w:val="clear" w:color="auto" w:fill="C7DAF1" w:themeFill="text2" w:themeFillTint="32"/>
                    <w:rPr>
                      <w:rFonts w:ascii="宋体" w:hAnsi="宋体" w:eastAsia="宋体" w:cs="Times New Roman"/>
                      <w:kern w:val="2"/>
                      <w:sz w:val="21"/>
                      <w:szCs w:val="24"/>
                      <w:lang w:val="en-US" w:eastAsia="zh-CN" w:bidi="ar-SA"/>
                    </w:rPr>
                  </w:pPr>
                  <w:r>
                    <w:rPr>
                      <w:rFonts w:hint="eastAsia" w:ascii="宋体" w:hAnsi="宋体"/>
                      <w:lang w:val="en-US" w:eastAsia="zh-CN"/>
                    </w:rPr>
                    <w:t>综合管理部</w:t>
                  </w:r>
                  <w:r>
                    <w:rPr>
                      <w:rFonts w:hint="eastAsia" w:eastAsia="宋体"/>
                      <w:lang w:val="en-US" w:eastAsia="zh-CN"/>
                    </w:rPr>
                    <w:t>统计</w:t>
                  </w:r>
                </w:p>
              </w:tc>
              <w:tc>
                <w:tcPr>
                  <w:tcW w:w="1350" w:type="dxa"/>
                  <w:shd w:val="clear" w:color="auto" w:fill="auto"/>
                  <w:vAlign w:val="center"/>
                </w:tcPr>
                <w:p>
                  <w:pPr>
                    <w:shd w:val="clear" w:color="auto" w:fill="C7DAF1" w:themeFill="text2" w:themeFillTint="32"/>
                    <w:rPr>
                      <w:rFonts w:ascii="宋体" w:hAnsi="宋体" w:eastAsia="宋体" w:cs="Times New Roman"/>
                      <w:kern w:val="2"/>
                      <w:sz w:val="21"/>
                      <w:szCs w:val="24"/>
                      <w:lang w:val="en-US" w:eastAsia="zh-CN" w:bidi="ar-SA"/>
                    </w:rPr>
                  </w:pPr>
                  <w:r>
                    <w:rPr>
                      <w:rFonts w:hint="eastAsia" w:ascii="宋体" w:hAnsi="宋体"/>
                      <w:lang w:val="en-US" w:eastAsia="zh-CN"/>
                    </w:rPr>
                    <w:t>综合管理部</w:t>
                  </w:r>
                </w:p>
              </w:tc>
              <w:tc>
                <w:tcPr>
                  <w:tcW w:w="1774" w:type="dxa"/>
                  <w:shd w:val="clear" w:color="auto" w:fill="auto"/>
                  <w:vAlign w:val="center"/>
                </w:tcPr>
                <w:p>
                  <w:pPr>
                    <w:shd w:val="clear" w:color="auto" w:fill="C7DAF1" w:themeFill="text2" w:themeFillTint="32"/>
                    <w:jc w:val="center"/>
                    <w:rPr>
                      <w:rFonts w:ascii="宋体" w:hAnsi="宋体" w:eastAsia="宋体" w:cs="Times New Roman"/>
                      <w:kern w:val="2"/>
                      <w:sz w:val="21"/>
                      <w:szCs w:val="24"/>
                      <w:lang w:val="en-US" w:eastAsia="zh-CN" w:bidi="ar-SA"/>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eastAsia="宋体" w:cs="Times New Roman"/>
                      <w:color w:val="auto"/>
                      <w:highlight w:val="none"/>
                    </w:rPr>
                    <w:t>顾客满意度≥</w:t>
                  </w:r>
                  <w:r>
                    <w:rPr>
                      <w:rFonts w:hint="eastAsia" w:ascii="宋体" w:hAnsi="宋体" w:eastAsia="宋体" w:cs="Times New Roman"/>
                      <w:color w:val="auto"/>
                      <w:highlight w:val="none"/>
                      <w:lang w:val="en-US" w:eastAsia="zh-CN"/>
                    </w:rPr>
                    <w:t>8</w:t>
                  </w:r>
                  <w:r>
                    <w:rPr>
                      <w:rFonts w:hint="eastAsia" w:ascii="宋体" w:hAnsi="宋体" w:eastAsia="宋体" w:cs="Times New Roman"/>
                      <w:color w:val="auto"/>
                      <w:highlight w:val="none"/>
                    </w:rPr>
                    <w:t>5%</w:t>
                  </w:r>
                </w:p>
              </w:tc>
              <w:tc>
                <w:tcPr>
                  <w:tcW w:w="3136" w:type="dxa"/>
                  <w:shd w:val="clear" w:color="auto" w:fill="auto"/>
                  <w:vAlign w:val="center"/>
                </w:tcPr>
                <w:p>
                  <w:pPr>
                    <w:shd w:val="clear" w:color="auto" w:fill="C7DAF1" w:themeFill="text2" w:themeFillTint="32"/>
                    <w:rPr>
                      <w:rFonts w:ascii="宋体" w:hAnsi="宋体" w:eastAsia="宋体" w:cs="Times New Roman"/>
                      <w:kern w:val="2"/>
                      <w:sz w:val="21"/>
                      <w:szCs w:val="24"/>
                      <w:lang w:val="en-US" w:eastAsia="zh-CN" w:bidi="ar-SA"/>
                    </w:rPr>
                  </w:pPr>
                  <w:r>
                    <w:rPr>
                      <w:rFonts w:hint="eastAsia" w:ascii="宋体" w:hAnsi="宋体"/>
                      <w:lang w:val="en-US" w:eastAsia="zh-CN"/>
                    </w:rPr>
                    <w:t>综合管理部</w:t>
                  </w:r>
                  <w:r>
                    <w:rPr>
                      <w:rFonts w:hint="eastAsia" w:eastAsia="宋体"/>
                      <w:color w:val="auto"/>
                      <w:highlight w:val="none"/>
                    </w:rPr>
                    <w:t>统计分析报告</w:t>
                  </w:r>
                </w:p>
              </w:tc>
              <w:tc>
                <w:tcPr>
                  <w:tcW w:w="1350" w:type="dxa"/>
                  <w:shd w:val="clear" w:color="auto" w:fill="auto"/>
                  <w:vAlign w:val="center"/>
                </w:tcPr>
                <w:p>
                  <w:pPr>
                    <w:shd w:val="clear" w:color="auto" w:fill="C7DAF1" w:themeFill="text2" w:themeFillTint="32"/>
                    <w:rPr>
                      <w:rFonts w:ascii="宋体" w:hAnsi="宋体" w:eastAsia="宋体" w:cs="Times New Roman"/>
                      <w:kern w:val="2"/>
                      <w:sz w:val="21"/>
                      <w:szCs w:val="24"/>
                      <w:lang w:val="en-US" w:eastAsia="zh-CN" w:bidi="ar-SA"/>
                    </w:rPr>
                  </w:pPr>
                  <w:r>
                    <w:rPr>
                      <w:rFonts w:hint="eastAsia" w:ascii="宋体" w:hAnsi="宋体"/>
                      <w:lang w:val="en-US" w:eastAsia="zh-CN"/>
                    </w:rPr>
                    <w:t>综合管理部</w:t>
                  </w:r>
                </w:p>
              </w:tc>
              <w:tc>
                <w:tcPr>
                  <w:tcW w:w="1774" w:type="dxa"/>
                  <w:shd w:val="clear" w:color="auto" w:fill="auto"/>
                  <w:vAlign w:val="center"/>
                </w:tcPr>
                <w:p>
                  <w:pPr>
                    <w:shd w:val="clear" w:color="auto" w:fill="C7DAF1" w:themeFill="text2" w:themeFillTint="32"/>
                    <w:jc w:val="center"/>
                    <w:rPr>
                      <w:rFonts w:hint="default" w:ascii="宋体" w:hAnsi="宋体" w:eastAsia="宋体" w:cs="Times New Roman"/>
                      <w:kern w:val="2"/>
                      <w:sz w:val="21"/>
                      <w:szCs w:val="24"/>
                      <w:lang w:val="en-US" w:eastAsia="zh-CN" w:bidi="ar-SA"/>
                    </w:rPr>
                  </w:pPr>
                  <w:r>
                    <w:rPr>
                      <w:rFonts w:hint="eastAsia" w:ascii="宋体" w:hAnsi="宋体"/>
                      <w:lang w:val="en-US" w:eastAsia="zh-CN"/>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vAlign w:val="top"/>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w:t>
            </w:r>
            <w:r>
              <w:rPr>
                <w:rFonts w:hint="eastAsia"/>
                <w:highlight w:val="none"/>
              </w:rPr>
              <w:t>筑面积</w:t>
            </w:r>
            <w:r>
              <w:rPr>
                <w:rFonts w:hint="eastAsia"/>
                <w:highlight w:val="none"/>
                <w:lang w:val="en-US" w:eastAsia="zh-CN"/>
              </w:rPr>
              <w:t>8485</w:t>
            </w:r>
            <w:r>
              <w:rPr>
                <w:rFonts w:hint="eastAsia"/>
                <w:highlight w:val="none"/>
              </w:rPr>
              <w:t>平方米；生产车间</w:t>
            </w:r>
            <w:r>
              <w:rPr>
                <w:rFonts w:hint="eastAsia"/>
                <w:highlight w:val="none"/>
                <w:lang w:val="en-US" w:eastAsia="zh-CN"/>
              </w:rPr>
              <w:t>1</w:t>
            </w:r>
            <w:r>
              <w:rPr>
                <w:rFonts w:hint="eastAsia"/>
                <w:highlight w:val="none"/>
              </w:rPr>
              <w:t>个；</w:t>
            </w:r>
            <w:r>
              <w:rPr>
                <w:rFonts w:hint="eastAsia"/>
              </w:rPr>
              <w:t>库房</w:t>
            </w:r>
            <w:r>
              <w:rPr>
                <w:rFonts w:hint="eastAsia"/>
                <w:lang w:val="en-US" w:eastAsia="zh-CN"/>
              </w:rPr>
              <w:t>1</w:t>
            </w:r>
            <w:r>
              <w:rPr>
                <w:rFonts w:hint="eastAsia"/>
              </w:rPr>
              <w:t>个；实验室</w:t>
            </w:r>
            <w:r>
              <w:rPr>
                <w:rFonts w:hint="eastAsia"/>
                <w:lang w:val="en-US" w:eastAsia="zh-CN"/>
              </w:rPr>
              <w:t>1</w:t>
            </w:r>
            <w:r>
              <w:rPr>
                <w:rFonts w:hint="eastAsia"/>
              </w:rPr>
              <w:t>个；</w:t>
            </w:r>
          </w:p>
          <w:p>
            <w:pPr>
              <w:shd w:val="clear" w:color="auto" w:fill="C7DAF1" w:themeFill="text2" w:themeFillTint="32"/>
              <w:rPr>
                <w:u w:val="single"/>
              </w:rPr>
            </w:pPr>
            <w:r>
              <w:rPr>
                <w:rFonts w:hint="eastAsia"/>
              </w:rPr>
              <w:t>主要生产设备有：</w:t>
            </w:r>
            <w:r>
              <w:rPr>
                <w:rFonts w:hint="eastAsia" w:ascii="Times New Roman" w:hAnsi="Times New Roman" w:eastAsia="宋体" w:cs="Times New Roman"/>
                <w:u w:val="single"/>
              </w:rPr>
              <w:t xml:space="preserve"> 离心机、搅拌机、滚焊机、电杆钢模</w:t>
            </w:r>
            <w:r>
              <w:rPr>
                <w:rFonts w:hint="eastAsia"/>
                <w:u w:val="single"/>
              </w:rPr>
              <w:t>（列举2~4种）</w:t>
            </w:r>
          </w:p>
          <w:p>
            <w:pPr>
              <w:shd w:val="clear" w:color="auto" w:fill="C7DAF1" w:themeFill="text2" w:themeFillTint="32"/>
            </w:pPr>
            <w:r>
              <w:rPr>
                <w:rFonts w:hint="eastAsia"/>
              </w:rPr>
              <w:t>特种设备：</w:t>
            </w:r>
            <w:r>
              <w:rPr>
                <w:rFonts w:hint="eastAsia" w:ascii="Wingdings" w:hAnsi="Wingdings"/>
              </w:rPr>
              <w:t>¨</w:t>
            </w:r>
            <w:r>
              <w:rPr>
                <w:rFonts w:hint="eastAsia"/>
              </w:rPr>
              <w:t>叉车</w:t>
            </w:r>
            <w:r>
              <w:rPr>
                <w:rFonts w:hint="eastAsia"/>
                <w:highlight w:val="none"/>
              </w:rPr>
              <w:t>■行车</w:t>
            </w:r>
            <w:r>
              <w:rPr>
                <w:rFonts w:hint="eastAsia" w:ascii="Wingdings" w:hAnsi="Wingdings"/>
                <w:highlight w:val="none"/>
              </w:rPr>
              <w:t>¨</w:t>
            </w:r>
            <w:r>
              <w:rPr>
                <w:rFonts w:hint="eastAsia"/>
                <w:highlight w:val="none"/>
              </w:rPr>
              <w:t>锅炉</w:t>
            </w:r>
            <w:r>
              <w:rPr>
                <w:rFonts w:hint="eastAsia" w:ascii="Wingdings" w:hAnsi="Wingdings"/>
              </w:rPr>
              <w:t>¨</w:t>
            </w:r>
            <w:r>
              <w:rPr>
                <w:rFonts w:hint="eastAsia"/>
                <w:highlight w:val="none"/>
              </w:rPr>
              <w:t>电梯</w:t>
            </w:r>
            <w:r>
              <w:rPr>
                <w:rFonts w:hint="eastAsia" w:ascii="Wingdings" w:hAnsi="Wingdings"/>
                <w:highlight w:val="none"/>
              </w:rPr>
              <w:t>¨</w:t>
            </w:r>
            <w:r>
              <w:rPr>
                <w:rFonts w:hint="eastAsia"/>
                <w:highlight w:val="none"/>
              </w:rPr>
              <w:t>压</w:t>
            </w:r>
            <w:r>
              <w:rPr>
                <w:rFonts w:hint="eastAsia"/>
              </w:rPr>
              <w:t>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C7DAF1" w:themeFill="text2" w:themeFillTint="32"/>
              <w:rPr>
                <w:u w:val="single"/>
              </w:rPr>
            </w:pPr>
            <w:r>
              <w:rPr>
                <w:rFonts w:hint="eastAsia"/>
              </w:rPr>
              <w:t>特种设备管理：■进行了定期检验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自校■外校</w:t>
            </w:r>
          </w:p>
          <w:p>
            <w:pPr>
              <w:shd w:val="clear" w:color="auto" w:fill="C7DAF1" w:themeFill="text2" w:themeFillTint="32"/>
              <w:rPr>
                <w:u w:val="single"/>
              </w:rPr>
            </w:pPr>
            <w:r>
              <w:rPr>
                <w:rFonts w:hint="eastAsia"/>
              </w:rPr>
              <w:t>国家强检的计量器具有：</w:t>
            </w:r>
            <w:r>
              <w:rPr>
                <w:rFonts w:hint="eastAsia" w:cs="Times New Roman"/>
                <w:u w:val="single"/>
                <w:lang w:val="en-US" w:eastAsia="zh-CN"/>
              </w:rPr>
              <w:t>压力试验机、钢卷尺、数显游标卡尺、裂缝测宽仪</w:t>
            </w:r>
            <w:r>
              <w:rPr>
                <w:rFonts w:hint="eastAsia"/>
                <w:u w:val="single"/>
              </w:rPr>
              <w:t>（列举1~4种）</w:t>
            </w:r>
          </w:p>
          <w:p>
            <w:pPr>
              <w:shd w:val="clear" w:color="auto" w:fill="C7DAF1" w:themeFill="text2" w:themeFillTint="32"/>
              <w:rPr>
                <w:u w:val="single"/>
              </w:rPr>
            </w:pPr>
            <w:r>
              <w:rPr>
                <w:rFonts w:hint="eastAsia"/>
              </w:rPr>
              <w:t>计量器具管理：■进行了定期校准/检定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t xml:space="preserve">加工工艺 ■生产经验  </w:t>
            </w:r>
            <w:r>
              <w:rPr>
                <w:rFonts w:hint="eastAsia" w:ascii="Wingdings" w:hAnsi="Wingdings"/>
              </w:rPr>
              <w:t>¨</w:t>
            </w:r>
            <w:r>
              <w:rPr>
                <w:rFonts w:hint="eastAsia"/>
              </w:rPr>
              <w:t xml:space="preserve">管理软件  ■市场预测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■顾客提供资料 ■产品标准  ■学术交流信息  </w:t>
            </w:r>
            <w:r>
              <w:rPr>
                <w:rFonts w:hint="eastAsia" w:ascii="Wingdings" w:hAnsi="Wingdings"/>
              </w:rPr>
              <w:t>¨</w:t>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通通过 ■招聘 ■换岗  ■培训  ■考核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特种作业人员：■电工■焊工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 xml:space="preserve">通过■会议传达 ■标语  ■培训  ■看板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 xml:space="preserve">内部沟通方式：■文件发放 ■会议  ■标语  ■展板   </w:t>
            </w:r>
            <w:r>
              <w:rPr>
                <w:rFonts w:hint="eastAsia" w:ascii="Wingdings" w:hAnsi="Wingdings"/>
              </w:rPr>
              <w:t>¨</w:t>
            </w:r>
            <w:r>
              <w:rPr>
                <w:rFonts w:hint="eastAsia"/>
              </w:rPr>
              <w:t>其他</w:t>
            </w:r>
          </w:p>
          <w:p>
            <w:pPr>
              <w:shd w:val="clear" w:color="auto" w:fill="C7DAF1" w:themeFill="text2" w:themeFillTint="32"/>
            </w:pPr>
            <w:r>
              <w:rPr>
                <w:rFonts w:hint="eastAsia"/>
              </w:rPr>
              <w:t xml:space="preserve">外部沟通方式：■宣传材料 </w:t>
            </w:r>
            <w:r>
              <w:rPr>
                <w:rFonts w:hint="eastAsia" w:ascii="Wingdings" w:hAnsi="Wingdings"/>
              </w:rPr>
              <w:t>¨</w:t>
            </w:r>
            <w:r>
              <w:rPr>
                <w:rFonts w:hint="eastAsia"/>
              </w:rPr>
              <w:t>网站  ■标语  ■展板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u w:val="single"/>
              </w:rPr>
            </w:pPr>
            <w:r>
              <w:rPr>
                <w:rFonts w:hint="eastAsia"/>
              </w:rPr>
              <w:t>组织已建立了文件化的质量管理体系。对自编文件的编制、审批、发放、变更和作废进行了控制。■体系文件受控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■工艺流程图 ■作业文件  ■检测计划   ■接收准则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产品和服务要求为：■外来标准</w:t>
            </w:r>
            <w:r>
              <w:rPr>
                <w:rFonts w:hint="eastAsia" w:ascii="Wingdings" w:hAnsi="Wingdings"/>
              </w:rPr>
              <w:t>¨</w:t>
            </w:r>
            <w:r>
              <w:rPr>
                <w:rFonts w:hint="eastAsia"/>
              </w:rPr>
              <w:t>企业标准</w:t>
            </w:r>
            <w:r>
              <w:rPr>
                <w:rFonts w:hint="eastAsia" w:ascii="Wingdings" w:hAnsi="Wingdings"/>
              </w:rPr>
              <w:t>¨</w:t>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 xml:space="preserve">外部提供包括：■原材料采购 </w:t>
            </w:r>
            <w:r>
              <w:rPr>
                <w:rFonts w:hint="eastAsia" w:ascii="Wingdings" w:hAnsi="Wingdings"/>
              </w:rPr>
              <w:t>¨</w:t>
            </w:r>
            <w:r>
              <w:rPr>
                <w:rFonts w:hint="eastAsia"/>
              </w:rPr>
              <w:t xml:space="preserve">委托加工  ■顾客要求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shd w:val="clear" w:color="auto" w:fill="C7DAF1" w:themeFill="text2" w:themeFillTint="32"/>
              <w:jc w:val="left"/>
            </w:pPr>
            <w:r>
              <w:rPr>
                <w:rFonts w:hint="eastAsia"/>
              </w:rPr>
              <w:t xml:space="preserve">提供给外部供方的信息■符合要求 </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C7DAF1" w:themeFill="text2"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环形混凝土电杆</w:t>
                  </w:r>
                </w:p>
              </w:tc>
              <w:tc>
                <w:tcPr>
                  <w:tcW w:w="3665" w:type="dxa"/>
                  <w:vAlign w:val="top"/>
                </w:tcPr>
                <w:p>
                  <w:pPr>
                    <w:shd w:val="clear" w:color="auto" w:fill="C7DAF1" w:themeFill="text2" w:themeFillTint="32"/>
                    <w:jc w:val="left"/>
                    <w:rPr>
                      <w:rFonts w:hint="eastAsia" w:ascii="Times New Roman" w:hAnsi="Times New Roman" w:eastAsia="宋体" w:cs="Times New Roman"/>
                      <w:kern w:val="2"/>
                      <w:sz w:val="21"/>
                      <w:szCs w:val="24"/>
                      <w:lang w:val="en-US" w:eastAsia="zh-CN" w:bidi="ar-SA"/>
                    </w:rPr>
                  </w:pPr>
                  <w:r>
                    <w:rPr>
                      <w:rFonts w:hint="eastAsia"/>
                    </w:rPr>
                    <w:t>离心成型过程</w:t>
                  </w:r>
                </w:p>
              </w:tc>
              <w:tc>
                <w:tcPr>
                  <w:tcW w:w="3265" w:type="dxa"/>
                  <w:vAlign w:val="top"/>
                </w:tcPr>
                <w:p>
                  <w:pPr>
                    <w:shd w:val="clear" w:color="auto" w:fill="C7DAF1" w:themeFill="text2" w:themeFillTint="32"/>
                    <w:jc w:val="left"/>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焊接过程</w:t>
            </w:r>
            <w:r>
              <w:rPr>
                <w:rFonts w:hint="eastAsia"/>
              </w:rPr>
              <w:t>，</w:t>
            </w:r>
          </w:p>
          <w:p>
            <w:pPr>
              <w:shd w:val="clear" w:color="auto" w:fill="C7DAF1" w:themeFill="text2" w:themeFillTint="32"/>
              <w:jc w:val="left"/>
            </w:pPr>
            <w:r>
              <w:rPr>
                <w:rFonts w:hint="eastAsia"/>
              </w:rPr>
              <w:t>■进行了有效的确认</w:t>
            </w:r>
            <w:r>
              <w:rPr>
                <w:rFonts w:hint="eastAsia" w:ascii="Wingdings" w:hAnsi="Wingdings"/>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 xml:space="preserve">标签  ■标牌 ■区域 </w:t>
            </w:r>
            <w:r>
              <w:rPr>
                <w:rFonts w:hint="eastAsia" w:ascii="Wingdings" w:hAnsi="Wingdings"/>
              </w:rPr>
              <w:t>¨</w:t>
            </w:r>
            <w:r>
              <w:rPr>
                <w:rFonts w:hint="eastAsia"/>
              </w:rPr>
              <w:t xml:space="preserve">容器编号 </w:t>
            </w:r>
            <w:r>
              <w:rPr>
                <w:rFonts w:hint="eastAsia" w:ascii="Wingdings" w:hAnsi="Wingdings"/>
              </w:rPr>
              <w:t>¨</w:t>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可追溯性实现：■符合要求</w:t>
            </w:r>
            <w:r>
              <w:rPr>
                <w:rFonts w:hint="eastAsia" w:ascii="Wingdings" w:hAnsi="Wingdings"/>
              </w:rPr>
              <w:t>¨</w:t>
            </w:r>
            <w:r>
              <w:rPr>
                <w:rFonts w:hint="eastAsia"/>
              </w:rPr>
              <w:t>存在不足，说明</w:t>
            </w:r>
            <w:r>
              <w:rPr>
                <w:rFonts w:hint="eastAsia"/>
                <w:u w:val="single"/>
              </w:rPr>
              <w:t xml:space="preserve"> </w:t>
            </w:r>
            <w:r>
              <w:rPr>
                <w:rFonts w:hint="eastAsia"/>
                <w:u w:val="single"/>
                <w:lang w:val="en-US" w:eastAsia="zh-CN"/>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配方 ■个人信息 ■其他</w:t>
            </w:r>
          </w:p>
          <w:p>
            <w:pPr>
              <w:shd w:val="clear" w:color="auto" w:fill="C7DAF1" w:themeFill="text2" w:themeFillTint="32"/>
              <w:jc w:val="left"/>
            </w:pPr>
            <w:r>
              <w:rPr>
                <w:rFonts w:hint="eastAsia"/>
              </w:rPr>
              <w:t xml:space="preserve">顾客或外部供方财产控制：■符合要求 </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eastAsia" w:ascii="Wingdings" w:hAnsi="Wingdings"/>
              </w:rPr>
              <w:t>¨</w:t>
            </w:r>
            <w:r>
              <w:rPr>
                <w:rFonts w:hint="eastAsia"/>
              </w:rPr>
              <w:t xml:space="preserve">维修■赔偿 </w:t>
            </w:r>
            <w:r>
              <w:rPr>
                <w:rFonts w:hint="eastAsia" w:ascii="Wingdings" w:hAnsi="Wingdings"/>
              </w:rPr>
              <w:t>¨</w:t>
            </w:r>
            <w:r>
              <w:rPr>
                <w:rFonts w:hint="eastAsia"/>
              </w:rPr>
              <w:t xml:space="preserve">道歉 ■最终处置 </w:t>
            </w:r>
            <w:r>
              <w:rPr>
                <w:rFonts w:hint="eastAsia" w:ascii="Wingdings" w:hAnsi="Wingdings"/>
              </w:rPr>
              <w:t>¨</w:t>
            </w:r>
            <w:r>
              <w:rPr>
                <w:rFonts w:hint="eastAsia"/>
              </w:rPr>
              <w:t>其他</w:t>
            </w:r>
          </w:p>
          <w:p>
            <w:pPr>
              <w:shd w:val="clear" w:color="auto" w:fill="C7DAF1" w:themeFill="text2" w:themeFillTint="32"/>
            </w:pPr>
            <w:r>
              <w:rPr>
                <w:rFonts w:hint="eastAsia"/>
              </w:rPr>
              <w:t xml:space="preserve">交付后活动：■符合要求 </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 xml:space="preserve">实施了■进货检验 </w:t>
            </w:r>
            <w:r>
              <w:rPr>
                <w:rFonts w:hint="eastAsia" w:ascii="Wingdings" w:hAnsi="Wingdings"/>
              </w:rPr>
              <w:t>¨</w:t>
            </w:r>
            <w:r>
              <w:rPr>
                <w:rFonts w:hint="eastAsia"/>
              </w:rPr>
              <w:t xml:space="preserve">首件检验 ■过程检验 ■最终检验 </w:t>
            </w:r>
            <w:r>
              <w:rPr>
                <w:rFonts w:hint="eastAsia" w:ascii="Wingdings" w:hAnsi="Wingdings"/>
              </w:rPr>
              <w:t>¨</w:t>
            </w:r>
            <w:r>
              <w:rPr>
                <w:rFonts w:hint="eastAsia"/>
              </w:rPr>
              <w:t xml:space="preserve">型式检验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u w:val="single"/>
                <w:lang w:val="en-US" w:eastAsia="zh-CN"/>
              </w:rPr>
              <w:t>产品检验报告</w:t>
            </w:r>
            <w:r>
              <w:rPr>
                <w:rFonts w:hint="eastAsia"/>
                <w:u w:val="single"/>
              </w:rPr>
              <w:t xml:space="preserve">                              </w:t>
            </w:r>
            <w:r>
              <w:rPr>
                <w:rFonts w:hint="eastAsia"/>
              </w:rPr>
              <w:t>。</w:t>
            </w:r>
          </w:p>
          <w:p>
            <w:pPr>
              <w:shd w:val="clear" w:color="auto" w:fill="C7DAF1" w:themeFill="text2" w:themeFillTint="32"/>
            </w:pPr>
            <w:r>
              <w:rPr>
                <w:rFonts w:hint="eastAsia"/>
              </w:rPr>
              <w:t xml:space="preserve">产品检验/服务放行：■符合要求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t>■顾客调查</w:t>
            </w:r>
            <w:r>
              <w:rPr>
                <w:rFonts w:hint="eastAsia" w:ascii="Wingdings" w:hAnsi="Wingdings"/>
              </w:rPr>
              <w:t>¨</w:t>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w:t>
            </w:r>
            <w:r>
              <w:rPr>
                <w:rFonts w:hint="eastAsia" w:ascii="Times New Roman" w:hAnsi="Times New Roman" w:eastAsia="宋体" w:cs="Times New Roman"/>
              </w:rPr>
              <w:t>于</w:t>
            </w:r>
            <w:r>
              <w:rPr>
                <w:rFonts w:hint="eastAsia" w:ascii="Times New Roman" w:hAnsi="Times New Roman" w:eastAsia="宋体" w:cs="Times New Roman"/>
                <w:lang w:val="en-US" w:eastAsia="zh-CN"/>
              </w:rPr>
              <w:t>2022</w:t>
            </w:r>
            <w:r>
              <w:rPr>
                <w:rFonts w:hint="eastAsia" w:ascii="Times New Roman" w:hAnsi="Times New Roman" w:eastAsia="宋体" w:cs="Times New Roman"/>
              </w:rPr>
              <w:t>年</w:t>
            </w:r>
            <w:r>
              <w:rPr>
                <w:rFonts w:hint="eastAsia" w:ascii="Times New Roman" w:hAnsi="Times New Roman" w:eastAsia="宋体" w:cs="Times New Roman"/>
                <w:lang w:val="en-US" w:eastAsia="zh-CN"/>
              </w:rPr>
              <w:t>1</w:t>
            </w:r>
            <w:r>
              <w:rPr>
                <w:rFonts w:hint="eastAsia" w:ascii="Times New Roman" w:hAnsi="Times New Roman" w:eastAsia="宋体" w:cs="Times New Roman"/>
              </w:rPr>
              <w:t>月</w:t>
            </w:r>
            <w:r>
              <w:rPr>
                <w:rFonts w:hint="eastAsia" w:ascii="Times New Roman" w:hAnsi="Times New Roman" w:eastAsia="宋体" w:cs="Times New Roman"/>
                <w:lang w:val="en-US" w:eastAsia="zh-CN"/>
              </w:rPr>
              <w:t>5</w:t>
            </w:r>
            <w:r>
              <w:rPr>
                <w:rFonts w:hint="eastAsia" w:cs="Times New Roman"/>
                <w:lang w:val="en-US" w:eastAsia="zh-CN"/>
              </w:rPr>
              <w:t>-6</w:t>
            </w:r>
            <w:r>
              <w:rPr>
                <w:rFonts w:hint="eastAsia" w:ascii="Times New Roman" w:hAnsi="Times New Roman" w:eastAsia="宋体" w:cs="Times New Roman"/>
              </w:rPr>
              <w:t>日实施了质</w:t>
            </w:r>
            <w:r>
              <w:rPr>
                <w:rFonts w:hint="eastAsia"/>
              </w:rPr>
              <w:t>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ascii="Times New Roman" w:hAnsi="Times New Roman" w:eastAsia="宋体" w:cs="Times New Roman"/>
                <w:lang w:val="en-US" w:eastAsia="zh-CN"/>
              </w:rPr>
              <w:t>2022年1月18日</w:t>
            </w:r>
            <w:r>
              <w:rPr>
                <w:rFonts w:hint="eastAsia" w:ascii="Times New Roman" w:hAnsi="Times New Roman" w:eastAsia="宋体" w:cs="Times New Roman"/>
              </w:rPr>
              <w:t>对组</w:t>
            </w:r>
            <w:r>
              <w:rPr>
                <w:rFonts w:hint="eastAsia"/>
              </w:rPr>
              <w:t>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rPr>
              <w:t xml:space="preserve">■不合格产品/服务 ■自我验证的结果  ■顾客投诉  ■顾客满意调查 </w:t>
            </w:r>
          </w:p>
          <w:p>
            <w:pPr>
              <w:shd w:val="clear" w:color="auto" w:fill="C7DAF1" w:themeFill="text2" w:themeFillTint="32"/>
            </w:pPr>
            <w:r>
              <w:rPr>
                <w:rFonts w:hint="eastAsia"/>
              </w:rPr>
              <w:t xml:space="preserve">■内审不符合项   ■外审不符合项  ■管理评审   ■目标统计分析结果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4.1</w:t>
            </w:r>
          </w:p>
        </w:tc>
        <w:tc>
          <w:tcPr>
            <w:tcW w:w="650" w:type="dxa"/>
            <w:vAlign w:val="center"/>
          </w:tcPr>
          <w:p>
            <w:pPr>
              <w:shd w:val="clear" w:color="auto" w:fill="C7DAF1" w:themeFill="text2" w:themeFillTint="32"/>
              <w:rPr>
                <w:highlight w:val="none"/>
                <w:lang w:eastAsia="ja-JP"/>
              </w:rPr>
            </w:pPr>
            <w:r>
              <w:rPr>
                <w:rFonts w:hint="eastAsia"/>
                <w:highlight w:val="none"/>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rFonts w:hint="eastAsia" w:eastAsia="宋体"/>
                <w:lang w:eastAsia="zh-CN"/>
              </w:rPr>
            </w:pPr>
            <w:r>
              <w:rPr>
                <w:rFonts w:hint="eastAsia"/>
                <w:lang w:val="en-US" w:eastAsia="zh-CN"/>
              </w:rPr>
              <w:t>3</w:t>
            </w:r>
          </w:p>
        </w:tc>
        <w:tc>
          <w:tcPr>
            <w:tcW w:w="650" w:type="dxa"/>
            <w:vAlign w:val="center"/>
          </w:tcPr>
          <w:p>
            <w:pPr>
              <w:shd w:val="clear" w:color="auto" w:fill="C7DAF1" w:themeFill="text2" w:themeFillTint="32"/>
              <w:rPr>
                <w:lang w:eastAsia="ja-JP"/>
              </w:rPr>
            </w:pPr>
            <w:r>
              <w:t>4</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rPr>
          <w:rFonts w:eastAsia="微软雅黑"/>
        </w:rPr>
      </w:pPr>
      <w:r>
        <w:tab/>
      </w:r>
      <w:r>
        <w:tab/>
      </w:r>
      <w:r>
        <w:t>4 =不适用</w:t>
      </w: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5FF4171"/>
    <w:rsid w:val="0EE73A1C"/>
    <w:rsid w:val="0EEE3ED2"/>
    <w:rsid w:val="15476E2E"/>
    <w:rsid w:val="189E3F01"/>
    <w:rsid w:val="312E363D"/>
    <w:rsid w:val="3CF06AF9"/>
    <w:rsid w:val="4F886905"/>
    <w:rsid w:val="506A5866"/>
    <w:rsid w:val="67322927"/>
    <w:rsid w:val="6B5138FD"/>
    <w:rsid w:val="6CB77C01"/>
    <w:rsid w:val="74147B26"/>
    <w:rsid w:val="75C422FE"/>
    <w:rsid w:val="75E15658"/>
    <w:rsid w:val="772A13ED"/>
    <w:rsid w:val="77933E22"/>
    <w:rsid w:val="780C7E74"/>
    <w:rsid w:val="7BC309A6"/>
    <w:rsid w:val="7BD32074"/>
    <w:rsid w:val="7E705E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1</TotalTime>
  <ScaleCrop>false</ScaleCrop>
  <LinksUpToDate>false</LinksUpToDate>
  <CharactersWithSpaces>21168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誰汻誰天荒地鮱</cp:lastModifiedBy>
  <cp:lastPrinted>2019-05-13T03:19:00Z</cp:lastPrinted>
  <dcterms:modified xsi:type="dcterms:W3CDTF">2022-03-14T07:28:45Z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