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89"/>
        <w:gridCol w:w="779"/>
        <w:gridCol w:w="646"/>
        <w:gridCol w:w="428"/>
        <w:gridCol w:w="190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国药乐仁堂邢台医疗器械有限公司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河北省邢台经济开发区中兴东大街1889号河北工业大学科技园(邢台)园区1号楼525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河北省邢台经济开发区中兴东大街1889号河北工业大学科技园(邢台)园区1号楼525、邢台市襄都辛庄北路77号F-6、F-8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0181-2022-Q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18633454782</w:t>
            </w:r>
            <w:bookmarkEnd w:id="5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18633454782</w:t>
            </w:r>
            <w:bookmarkEnd w:id="6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18633454782@126.com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姜大朋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9" w:name="管代电话"/>
            <w:bookmarkEnd w:id="9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1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274" w:type="dxa"/>
            <w:gridSpan w:val="9"/>
            <w:vAlign w:val="center"/>
          </w:tcPr>
          <w:p>
            <w:bookmarkStart w:id="12" w:name="审核范围"/>
            <w:r>
              <w:t>资质范围内医疗器械的销售</w:t>
            </w:r>
            <w:bookmarkEnd w:id="12"/>
          </w:p>
        </w:tc>
        <w:tc>
          <w:tcPr>
            <w:tcW w:w="1853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403" w:type="dxa"/>
            <w:gridSpan w:val="3"/>
            <w:vAlign w:val="center"/>
          </w:tcPr>
          <w:p>
            <w:bookmarkStart w:id="13" w:name="专业代码"/>
            <w:r>
              <w:t>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zh-CN"/>
              </w:rPr>
              <w:t>GYLRT/SC-2021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</w:rPr>
              <w:t>2022年03月09日 上午至2022年03月09日 上午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2400" w:firstLineChars="1000"/>
      </w:pPr>
    </w:p>
    <w:p>
      <w:pPr>
        <w:snapToGrid w:val="0"/>
        <w:spacing w:before="163" w:beforeLines="50" w:line="320" w:lineRule="exact"/>
        <w:ind w:firstLine="2400" w:firstLineChars="1000"/>
        <w:rPr>
          <w:rFonts w:hint="eastAsia" w:asciiTheme="minorEastAsia" w:hAnsiTheme="minorEastAsia" w:eastAsiaTheme="minorEastAsia"/>
          <w:sz w:val="32"/>
          <w:szCs w:val="32"/>
        </w:rPr>
      </w:pPr>
      <w:bookmarkStart w:id="17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132715</wp:posOffset>
            </wp:positionV>
            <wp:extent cx="4802505" cy="6481445"/>
            <wp:effectExtent l="0" t="0" r="1079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648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11512"/>
    <w:rsid w:val="3F9C3D64"/>
    <w:rsid w:val="74F479D9"/>
    <w:rsid w:val="7F726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2022-03-11T10:27:01Z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