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>
      <w:pPr>
        <w:rPr>
          <w:b/>
          <w:sz w:val="22"/>
          <w:szCs w:val="22"/>
        </w:rPr>
      </w:pPr>
    </w:p>
    <w:tbl>
      <w:tblPr>
        <w:tblStyle w:val="8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bookmarkStart w:id="2" w:name="组织名称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北京博宇汽车服务有限公司</w:t>
            </w:r>
            <w:bookmarkEnd w:id="2"/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专业小类/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Q:29.02.00;31.04.01;35.16.03;39.02.01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郭毅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Q:29.02.00;31.04.01;35.16.03;39.02.01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李京田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夏爱俭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生产工艺/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ind w:left="52"/>
              <w:jc w:val="both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eastAsia="zh-CN"/>
              </w:rPr>
              <w:t>（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1）</w:t>
            </w:r>
            <w:r>
              <w:rPr>
                <w:rFonts w:hint="eastAsia"/>
                <w:b/>
                <w:sz w:val="20"/>
                <w:szCs w:val="22"/>
              </w:rPr>
              <w:t>汽车维修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流程：</w:t>
            </w:r>
          </w:p>
          <w:p>
            <w:pPr>
              <w:snapToGrid w:val="0"/>
              <w:spacing w:line="280" w:lineRule="exact"/>
              <w:ind w:left="52"/>
              <w:jc w:val="both"/>
              <w:rPr>
                <w:rFonts w:hint="eastAsia"/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    进厂接待------- 与客户沟通故障问题----故障检查确定故障原因-----与客户交代故障原因，及故障更换的零部件和所需费用-----填写前台接待单——客户确认签字---派工------维修------自检----- 客户验收------填写维修结算单——付款</w:t>
            </w:r>
          </w:p>
          <w:p>
            <w:pPr>
              <w:snapToGrid w:val="0"/>
              <w:spacing w:line="280" w:lineRule="exact"/>
              <w:ind w:left="52"/>
              <w:jc w:val="both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eastAsia="zh-CN"/>
              </w:rPr>
              <w:t>（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2）</w:t>
            </w:r>
            <w:r>
              <w:rPr>
                <w:rFonts w:hint="eastAsia"/>
                <w:b/>
                <w:sz w:val="20"/>
                <w:szCs w:val="22"/>
              </w:rPr>
              <w:t>城市生活垃圾清扫、收集、运输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流程：</w:t>
            </w:r>
          </w:p>
          <w:p>
            <w:pPr>
              <w:snapToGrid w:val="0"/>
              <w:spacing w:line="280" w:lineRule="exact"/>
              <w:ind w:left="52"/>
              <w:jc w:val="both"/>
              <w:rPr>
                <w:rFonts w:hint="eastAsia"/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垃圾清运服务：顾客沟通－签订合同--入场清运垃圾设备、人员记录---实施清运（指定位置清运）--清理垃圾杂物--客户验收单</w:t>
            </w:r>
          </w:p>
          <w:p>
            <w:pPr>
              <w:snapToGrid w:val="0"/>
              <w:spacing w:line="280" w:lineRule="exact"/>
              <w:ind w:left="52"/>
              <w:jc w:val="both"/>
              <w:rPr>
                <w:rFonts w:hint="eastAsia"/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  <w:lang w:eastAsia="zh-CN"/>
              </w:rPr>
              <w:t>（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3）</w:t>
            </w:r>
            <w:r>
              <w:rPr>
                <w:rFonts w:hint="eastAsia"/>
                <w:b/>
                <w:sz w:val="20"/>
                <w:szCs w:val="22"/>
              </w:rPr>
              <w:t>普通货运样板</w:t>
            </w:r>
          </w:p>
          <w:p>
            <w:pPr>
              <w:snapToGrid w:val="0"/>
              <w:spacing w:line="280" w:lineRule="exact"/>
              <w:ind w:left="52"/>
              <w:jc w:val="both"/>
              <w:rPr>
                <w:rFonts w:hint="eastAsia"/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合同订立→车辆调度→货物受理→装载货物→途中运输→卸载→交付完成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ascii="Times New Roman" w:hAnsi="Times New Roman" w:eastAsia="宋体" w:cs="Times New Roman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关键过程及需要确认的过程及主要控制参数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ind w:left="52"/>
              <w:jc w:val="both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关键过程：</w:t>
            </w:r>
            <w:r>
              <w:rPr>
                <w:rFonts w:hint="eastAsia"/>
                <w:b/>
                <w:sz w:val="20"/>
                <w:szCs w:val="22"/>
              </w:rPr>
              <w:t>二类汽车维修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过程、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运输</w:t>
            </w:r>
            <w:r>
              <w:rPr>
                <w:rFonts w:hint="eastAsia"/>
                <w:b/>
                <w:sz w:val="20"/>
                <w:szCs w:val="22"/>
              </w:rPr>
              <w:t>服务过程</w:t>
            </w:r>
          </w:p>
          <w:p>
            <w:pPr>
              <w:snapToGrid w:val="0"/>
              <w:spacing w:line="280" w:lineRule="exact"/>
              <w:ind w:left="52"/>
              <w:jc w:val="both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特殊过程：</w:t>
            </w:r>
            <w:r>
              <w:rPr>
                <w:rFonts w:hint="eastAsia"/>
                <w:b/>
                <w:sz w:val="20"/>
                <w:szCs w:val="22"/>
              </w:rPr>
              <w:t>二类汽车维修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过、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运输</w:t>
            </w:r>
            <w:r>
              <w:rPr>
                <w:rFonts w:hint="eastAsia"/>
                <w:b/>
                <w:sz w:val="20"/>
                <w:szCs w:val="22"/>
              </w:rPr>
              <w:t>服务过程</w:t>
            </w:r>
          </w:p>
          <w:p>
            <w:pPr>
              <w:snapToGrid w:val="0"/>
              <w:spacing w:line="280" w:lineRule="exact"/>
              <w:ind w:left="52"/>
              <w:jc w:val="both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控制措施：</w:t>
            </w:r>
          </w:p>
          <w:p>
            <w:pPr>
              <w:snapToGrid w:val="0"/>
              <w:spacing w:line="280" w:lineRule="exact"/>
              <w:ind w:left="52"/>
              <w:jc w:val="both"/>
              <w:rPr>
                <w:rFonts w:hint="default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专业管理制度、汽车维修人员资质</w:t>
            </w:r>
          </w:p>
          <w:p>
            <w:pPr>
              <w:snapToGrid w:val="0"/>
              <w:spacing w:line="280" w:lineRule="exact"/>
              <w:ind w:left="52"/>
              <w:jc w:val="both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工艺管理规程；计划统计管理制度；安全管理制度；环保管理制度；质量管理制度；</w:t>
            </w:r>
          </w:p>
          <w:p>
            <w:pPr>
              <w:snapToGrid w:val="0"/>
              <w:spacing w:line="280" w:lineRule="exact"/>
              <w:ind w:left="52"/>
              <w:jc w:val="both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设备管理制度；物资管理制度；人力资源管理制度；行政管理制度；产品检验标准等。</w:t>
            </w:r>
          </w:p>
          <w:p>
            <w:pPr>
              <w:snapToGrid w:val="0"/>
              <w:spacing w:line="280" w:lineRule="exact"/>
              <w:ind w:left="52"/>
              <w:jc w:val="both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生产例会制度</w:t>
            </w:r>
          </w:p>
          <w:p>
            <w:pPr>
              <w:snapToGrid w:val="0"/>
              <w:spacing w:line="280" w:lineRule="exact"/>
              <w:ind w:left="52"/>
              <w:jc w:val="both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周调度会；月度生产运行分析会；防范性生产形势研讨会；技术研讨分析会等。</w:t>
            </w:r>
          </w:p>
          <w:p>
            <w:pPr>
              <w:snapToGrid w:val="0"/>
              <w:spacing w:line="280" w:lineRule="exact"/>
              <w:jc w:val="both"/>
              <w:rPr>
                <w:rFonts w:hint="default" w:ascii="Times New Roman" w:hAnsi="Times New Roman" w:eastAsia="宋体" w:cs="Times New Roman"/>
                <w:b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both"/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>相关质量法律法规的要求及产品标准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ind w:left="52"/>
              <w:jc w:val="both"/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 xml:space="preserve"> 中华人民共和国道路交通安全法》、《中华人民共和国道路运输条例》</w:t>
            </w:r>
          </w:p>
          <w:p>
            <w:pPr>
              <w:snapToGrid w:val="0"/>
              <w:spacing w:line="280" w:lineRule="exact"/>
              <w:ind w:left="52"/>
              <w:jc w:val="both"/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>《汽车货物运输规则》、《汽车危险货物运输规则》、《集装箱汽车运输规则》</w:t>
            </w:r>
          </w:p>
          <w:p>
            <w:pPr>
              <w:snapToGrid w:val="0"/>
              <w:spacing w:line="280" w:lineRule="exact"/>
              <w:ind w:left="52"/>
              <w:jc w:val="both"/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>《道路货物运单使用和管理办法》《道路危险货物运输管理规定》</w:t>
            </w:r>
          </w:p>
          <w:p>
            <w:pPr>
              <w:snapToGrid w:val="0"/>
              <w:spacing w:line="280" w:lineRule="exact"/>
              <w:ind w:left="52"/>
              <w:jc w:val="both"/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>《国际道路运输管理规定》《超限运输车辆行驶公路管理规定》</w:t>
            </w:r>
          </w:p>
          <w:p>
            <w:pPr>
              <w:snapToGrid w:val="0"/>
              <w:spacing w:line="280" w:lineRule="exact"/>
              <w:ind w:left="52"/>
              <w:jc w:val="both"/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>DB11/ 1228-2015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ab/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 xml:space="preserve"> 汽车维修业大气污染物排放标准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ab/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>北京市质量技术监督局.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ab/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>2015-09-01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ab/>
            </w:r>
          </w:p>
          <w:p>
            <w:pPr>
              <w:snapToGrid w:val="0"/>
              <w:spacing w:line="280" w:lineRule="exact"/>
              <w:ind w:left="52"/>
              <w:jc w:val="both"/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 xml:space="preserve"> DB11/T 1265-2015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ab/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 xml:space="preserve"> 清洁生产评价指标体系 汽车维修及拆解业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ab/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>北京市质量技术监督局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ab/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>2016-04-01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ab/>
            </w:r>
          </w:p>
          <w:p>
            <w:pPr>
              <w:snapToGrid w:val="0"/>
              <w:spacing w:line="280" w:lineRule="exact"/>
              <w:ind w:left="52"/>
              <w:jc w:val="both"/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 xml:space="preserve"> DB11/T 1426-2017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ab/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 xml:space="preserve"> 汽车维修业污染防治技术规范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ab/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>北京市质量技术监督局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ab/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>2017-10-01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ab/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>现行</w:t>
            </w:r>
          </w:p>
          <w:p>
            <w:pPr>
              <w:snapToGrid w:val="0"/>
              <w:spacing w:line="280" w:lineRule="exact"/>
              <w:ind w:left="52"/>
              <w:jc w:val="both"/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 xml:space="preserve">  GB/T 16739.1-2014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ab/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 xml:space="preserve"> 汽车维修业开业条件 第1部分：汽车整车维修企业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ab/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>国家质量监督检验检疫.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ab/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>2015-01-01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ab/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>现行</w:t>
            </w:r>
          </w:p>
          <w:p>
            <w:pPr>
              <w:snapToGrid w:val="0"/>
              <w:spacing w:line="280" w:lineRule="exact"/>
              <w:ind w:left="52"/>
              <w:jc w:val="both"/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 xml:space="preserve"> GB/T 16739.2-2014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ab/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 xml:space="preserve"> 汽车维修业开业条件 第2部分：汽车综合小修及专项维修业户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ab/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>国家质量监督检验检疫.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ab/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>2015-01-01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ab/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>现行</w:t>
            </w:r>
          </w:p>
          <w:p>
            <w:pPr>
              <w:snapToGrid w:val="0"/>
              <w:spacing w:line="280" w:lineRule="exact"/>
              <w:ind w:left="52"/>
              <w:jc w:val="both"/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>清洁行业企业资质评价体系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ab/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>SB/T  10596-2011</w:t>
            </w:r>
          </w:p>
          <w:p>
            <w:pPr>
              <w:snapToGrid w:val="0"/>
              <w:spacing w:line="280" w:lineRule="exact"/>
              <w:ind w:left="52"/>
              <w:jc w:val="both"/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>卫生保洁服务通则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ab/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>DB11T 658-2009</w:t>
            </w:r>
          </w:p>
          <w:p>
            <w:pPr>
              <w:snapToGrid w:val="0"/>
              <w:spacing w:line="280" w:lineRule="exact"/>
              <w:ind w:left="52"/>
              <w:jc w:val="both"/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>清洁行业经营服务规范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ab/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>SB/T 10595-2011</w:t>
            </w:r>
          </w:p>
          <w:p>
            <w:pPr>
              <w:snapToGrid w:val="0"/>
              <w:spacing w:line="280" w:lineRule="exact"/>
              <w:ind w:left="52"/>
              <w:jc w:val="both"/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>保洁服务质量规范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ab/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 xml:space="preserve">DB36∕T 851-2015 </w:t>
            </w:r>
          </w:p>
          <w:p>
            <w:pPr>
              <w:snapToGrid w:val="0"/>
              <w:spacing w:line="280" w:lineRule="exact"/>
              <w:ind w:left="52"/>
              <w:jc w:val="both"/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</w:pPr>
          </w:p>
          <w:p>
            <w:pPr>
              <w:snapToGrid w:val="0"/>
              <w:spacing w:line="280" w:lineRule="exact"/>
              <w:ind w:left="52"/>
              <w:jc w:val="both"/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ind w:firstLine="602" w:firstLineChars="300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不适用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符合合同及法规要求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2022.3.11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2022.3.11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  <w:lang w:eastAsia="zh-CN"/>
        </w:rPr>
        <w:t>☑</w:t>
      </w:r>
      <w:r>
        <w:rPr>
          <w:b/>
          <w:sz w:val="22"/>
          <w:szCs w:val="22"/>
        </w:rPr>
        <w:t xml:space="preserve">EMS  </w:t>
      </w:r>
    </w:p>
    <w:tbl>
      <w:tblPr>
        <w:tblStyle w:val="8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北京博宇汽车服务有限公司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专业小类/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E</w:t>
            </w:r>
            <w:r>
              <w:rPr>
                <w:rFonts w:hint="eastAsia"/>
                <w:b/>
                <w:sz w:val="20"/>
              </w:rPr>
              <w:t>:29.02.00;31.04.01;35.16.03;39.02.01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郭毅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E</w:t>
            </w:r>
            <w:r>
              <w:rPr>
                <w:rFonts w:hint="eastAsia"/>
                <w:b/>
                <w:sz w:val="20"/>
              </w:rPr>
              <w:t>:29.02.00;31.04.01;35.16.03;39.02.01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李京田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夏爱俭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（1）汽车维修流程：</w:t>
            </w:r>
          </w:p>
          <w:p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    进厂接待------- 与客户沟通故障问题----故障检查确定故障原因-----与客户交代故障原因，及故障更换的零部件和所需费用-----填写前台接待单——客户确认签字---派工------维修------自检----- 客户验收------填写维修结算单——付款</w:t>
            </w:r>
          </w:p>
          <w:p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（2）城市生活垃圾清扫、收集、运输流程：</w:t>
            </w:r>
          </w:p>
          <w:p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垃圾清运服务：顾客沟通－签订合同--入场清运垃圾设备、人员记录---实施清运（指定位置清运）--清理垃圾杂物--客户验收单</w:t>
            </w:r>
          </w:p>
          <w:p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（3）普通货运样板</w:t>
            </w:r>
          </w:p>
          <w:p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合同订立→车辆调度→货物受理→装载货物→途中运输→卸载→交付完成</w:t>
            </w:r>
          </w:p>
          <w:p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</w:p>
          <w:p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关键过程：二类汽车维修过程、运输服务过程</w:t>
            </w:r>
          </w:p>
          <w:p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特殊过程：二类汽车维修过、运输服务过程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rPr>
                <w:rFonts w:hint="eastAsia" w:ascii="Times New Roman" w:hAnsi="Times New Roman" w:eastAsia="宋体" w:cs="Times New Roman"/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</w:rPr>
              <w:t>重要环境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因素</w:t>
            </w:r>
            <w:r>
              <w:rPr>
                <w:rFonts w:hint="eastAsia" w:ascii="Times New Roman" w:hAnsi="Times New Roman" w:eastAsia="宋体" w:cs="Times New Roman"/>
                <w:b/>
                <w:sz w:val="20"/>
              </w:rPr>
              <w:t>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提供的“环境因素识别评价表”“重要环境因素清单”， 评价考虑了三种时态现在、过去、将来、三种状态、异常、正常、紧急考虑了法律法规，并进行了评价，识别技术管理过程，用打分法考虑了法规符合性、发生频次、影响范围等, 通过定性判断法，共识别出重大环境因素2项：固废排放、火灾，评价符合程序要求及公司的实际情况。</w:t>
            </w:r>
          </w:p>
          <w:p>
            <w:pPr>
              <w:snapToGrid w:val="0"/>
              <w:spacing w:line="280" w:lineRule="exact"/>
              <w:rPr>
                <w:rFonts w:hint="eastAsia" w:ascii="Times New Roman" w:hAnsi="Times New Roman" w:eastAsia="宋体" w:cs="Times New Roman"/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rPr>
                <w:rFonts w:hint="eastAsia" w:ascii="Times New Roman" w:hAnsi="Times New Roman" w:eastAsia="宋体" w:cs="Times New Roman"/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</w:rPr>
              <w:t>相关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环境</w:t>
            </w:r>
            <w:r>
              <w:rPr>
                <w:rFonts w:hint="eastAsia" w:ascii="Times New Roman" w:hAnsi="Times New Roman" w:eastAsia="宋体" w:cs="Times New Roman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大气污染物综合排放标准、污水综合排放标准、工业企业厂界噪声标准</w:t>
            </w:r>
          </w:p>
          <w:p>
            <w:pPr>
              <w:snapToGrid w:val="0"/>
              <w:spacing w:line="280" w:lineRule="exact"/>
              <w:rPr>
                <w:rFonts w:hint="eastAsia" w:ascii="Times New Roman" w:hAnsi="Times New Roman" w:eastAsia="宋体" w:cs="Times New Roman"/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一般工业固体废物贮存、处置场污染控制标准、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环境监测报告（适用时）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不适用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2022.3.11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309880</wp:posOffset>
                  </wp:positionH>
                  <wp:positionV relativeFrom="paragraph">
                    <wp:posOffset>2540</wp:posOffset>
                  </wp:positionV>
                  <wp:extent cx="847725" cy="368300"/>
                  <wp:effectExtent l="0" t="0" r="3175" b="0"/>
                  <wp:wrapNone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725" cy="368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2022.3.11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  <w:lang w:eastAsia="zh-CN"/>
        </w:rPr>
        <w:t>☑</w:t>
      </w:r>
      <w:r>
        <w:rPr>
          <w:b/>
          <w:sz w:val="22"/>
          <w:szCs w:val="22"/>
        </w:rPr>
        <w:t>OHSMS</w:t>
      </w:r>
    </w:p>
    <w:tbl>
      <w:tblPr>
        <w:tblStyle w:val="8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北京博宇汽车服务有限公司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专业小类/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O</w:t>
            </w:r>
            <w:r>
              <w:rPr>
                <w:rFonts w:hint="eastAsia"/>
                <w:b/>
                <w:sz w:val="20"/>
              </w:rPr>
              <w:t>:29.02.00;31.04.01;35.16.03;39.02.01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郭毅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O</w:t>
            </w:r>
            <w:r>
              <w:rPr>
                <w:rFonts w:hint="eastAsia"/>
                <w:b/>
                <w:sz w:val="20"/>
              </w:rPr>
              <w:t>:29.02.00;31.04.01;35.16.03;39.02.01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李京田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夏爱俭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（1）汽车维修流程：</w:t>
            </w:r>
          </w:p>
          <w:p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    进厂接待------- 与客户沟通故障问题----故障检查确定故障原因-----与客户交代故障原因，及故障更换的零部件和所需费用-----填写前台接待单——客户确认签字---派工------维修------自检----- 客户验收------填写维修结算单——付款</w:t>
            </w:r>
          </w:p>
          <w:p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（2）城市生活垃圾清扫、收集、运输流程：</w:t>
            </w:r>
          </w:p>
          <w:p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垃圾清运服务：顾客沟通－签订合同--入场清运垃圾设备、人员记录---实施清运（指定位置清运）--清理垃圾杂物--客户验收单</w:t>
            </w:r>
          </w:p>
          <w:p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（3）普通货运样板</w:t>
            </w:r>
          </w:p>
          <w:p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合同订立→车辆调度→货物受理→装载货物→途中运输→卸载→交付完成</w:t>
            </w:r>
          </w:p>
          <w:p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关键过程：二类汽车维修过程、运输服务过程</w:t>
            </w:r>
          </w:p>
          <w:p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特殊过程：二类汽车维修过、运输服务过程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</w:t>
            </w:r>
            <w:r>
              <w:rPr>
                <w:rFonts w:hint="eastAsia"/>
                <w:b/>
                <w:sz w:val="20"/>
                <w:lang w:val="en-US" w:eastAsia="zh-CN"/>
              </w:rPr>
              <w:t>和</w:t>
            </w:r>
            <w:r>
              <w:rPr>
                <w:rFonts w:hint="eastAsia"/>
                <w:b/>
                <w:sz w:val="20"/>
              </w:rPr>
              <w:t>危险源及控制措施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编制了《危险源辨识和风险评价程序》，采用危险源级别判定标准，规定不可接受风险判定。</w:t>
            </w:r>
          </w:p>
          <w:p>
            <w:pPr>
              <w:snapToGrid w:val="0"/>
              <w:spacing w:line="280" w:lineRule="exact"/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提供《危险源辨识和风险评价表》对生产生产各过程和办公活动分别进行辨识，考虑了触电、职业病伤害、意外伤害、火灾等方面；从过去、现在、将来三种时态；正常、异常和紧急三种状态识别危险源。</w:t>
            </w:r>
          </w:p>
          <w:p>
            <w:pPr>
              <w:snapToGrid w:val="0"/>
              <w:spacing w:line="280" w:lineRule="exact"/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本部门识别的各区域危险源有：触电、意外伤害、职业病、火灾、机械伤害等。不可接受风险识别有：火灾、意外伤害、触电。</w:t>
            </w:r>
          </w:p>
          <w:p>
            <w:pPr>
              <w:snapToGrid w:val="0"/>
              <w:spacing w:line="280" w:lineRule="exact"/>
              <w:rPr>
                <w:rFonts w:hint="eastAsia" w:ascii="Times New Roman" w:hAnsi="Times New Roman" w:eastAsia="宋体" w:cs="Times New Roman"/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职业健康安全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fldChar w:fldCharType="begin"/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instrText xml:space="preserve"> HYPERLINK "法律/中华人民共和国劳动法.DOC" </w:instrTex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fldChar w:fldCharType="separate"/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中华人民共和国劳动法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fldChar w:fldCharType="end"/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fldChar w:fldCharType="begin"/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instrText xml:space="preserve"> HYPERLINK "法律/中华人民共和国职业病防治法.doc" </w:instrTex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fldChar w:fldCharType="separate"/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中华人民共和国职业病防治法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fldChar w:fldCharType="end"/>
            </w:r>
          </w:p>
          <w:p>
            <w:pPr>
              <w:snapToGrid w:val="0"/>
              <w:spacing w:line="280" w:lineRule="exact"/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fldChar w:fldCharType="begin"/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instrText xml:space="preserve"> HYPERLINK "法律/中华人民共和国消防法.doc" </w:instrTex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fldChar w:fldCharType="separate"/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中华人民共和国消</w:t>
            </w:r>
            <w:bookmarkStart w:id="3" w:name="_Hlt226628074"/>
            <w:bookmarkStart w:id="4" w:name="_Hlt226628073"/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防</w:t>
            </w:r>
            <w:bookmarkEnd w:id="3"/>
            <w:bookmarkEnd w:id="4"/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法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fldChar w:fldCharType="end"/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fldChar w:fldCharType="begin"/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instrText xml:space="preserve"> HYPERLINK "法律/中华人民共和国安全生产法.doc" </w:instrTex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fldChar w:fldCharType="separate"/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中华人民共和国安全生产法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fldChar w:fldCharType="end"/>
            </w:r>
          </w:p>
          <w:p>
            <w:pPr>
              <w:snapToGrid w:val="0"/>
              <w:spacing w:line="280" w:lineRule="exact"/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fldChar w:fldCharType="begin"/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instrText xml:space="preserve"> HYPERLINK "法律/中华人民共和国职业病防治法.doc" </w:instrTex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fldChar w:fldCharType="separate"/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中华人民共和国职业病防治法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fldChar w:fldCharType="end"/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fldChar w:fldCharType="begin"/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instrText xml:space="preserve"> HYPERLINK "法律/中华人民共和国妇女权益保障法.DOC" </w:instrTex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fldChar w:fldCharType="separate"/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中华人民共和国妇女权益保障法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fldChar w:fldCharType="end"/>
            </w:r>
          </w:p>
          <w:p>
            <w:pPr>
              <w:snapToGrid w:val="0"/>
              <w:spacing w:line="280" w:lineRule="exact"/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fldChar w:fldCharType="begin"/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instrText xml:space="preserve"> HYPERLINK "法律/中华人民共和国未成年人保护法.DOC" </w:instrTex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fldChar w:fldCharType="separate"/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中华人民共和国未成年人保护法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fldChar w:fldCharType="end"/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fldChar w:fldCharType="begin"/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instrText xml:space="preserve"> HYPERLINK "法律/中华人民共和国突发事件应对法.doc" </w:instrTex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fldChar w:fldCharType="separate"/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中华人民共和国</w:t>
            </w:r>
            <w:bookmarkStart w:id="5" w:name="_Hlt202798386"/>
            <w:bookmarkStart w:id="6" w:name="_Hlt202798419"/>
            <w:bookmarkStart w:id="7" w:name="_Hlt202798418"/>
            <w:bookmarkStart w:id="8" w:name="_Hlt202798385"/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突</w:t>
            </w:r>
            <w:bookmarkEnd w:id="5"/>
            <w:bookmarkEnd w:id="6"/>
            <w:bookmarkEnd w:id="7"/>
            <w:bookmarkEnd w:id="8"/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发事</w:t>
            </w:r>
            <w:bookmarkStart w:id="9" w:name="_Hlt202798397"/>
            <w:bookmarkStart w:id="10" w:name="_Hlt202798398"/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件</w:t>
            </w:r>
            <w:bookmarkEnd w:id="9"/>
            <w:bookmarkEnd w:id="10"/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应对法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fldChar w:fldCharType="end"/>
            </w:r>
          </w:p>
          <w:p>
            <w:pPr>
              <w:snapToGrid w:val="0"/>
              <w:spacing w:line="280" w:lineRule="exact"/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fldChar w:fldCharType="begin"/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instrText xml:space="preserve"> HYPERLINK "法律/中华人民共和国传染病防治法.doc" </w:instrTex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fldChar w:fldCharType="separate"/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中华人民共和国传</w:t>
            </w:r>
            <w:bookmarkStart w:id="11" w:name="_Hlt202801268"/>
            <w:bookmarkStart w:id="12" w:name="_Hlt202801267"/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染</w:t>
            </w:r>
            <w:bookmarkEnd w:id="11"/>
            <w:bookmarkEnd w:id="12"/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病</w:t>
            </w:r>
            <w:bookmarkStart w:id="13" w:name="_Hlt202801121"/>
            <w:bookmarkStart w:id="14" w:name="_Hlt202801122"/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防</w:t>
            </w:r>
            <w:bookmarkEnd w:id="13"/>
            <w:bookmarkEnd w:id="14"/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治法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fldChar w:fldCharType="end"/>
            </w:r>
          </w:p>
          <w:p>
            <w:pPr>
              <w:snapToGrid w:val="0"/>
              <w:spacing w:line="280" w:lineRule="exact"/>
              <w:rPr>
                <w:rFonts w:hint="eastAsia" w:ascii="Times New Roman" w:hAnsi="Times New Roman" w:eastAsia="宋体" w:cs="Times New Roman"/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14"/>
                <w:szCs w:val="14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作业场所职业健康安全监测报告（适用时）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不适用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2022.3.11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309880</wp:posOffset>
                  </wp:positionH>
                  <wp:positionV relativeFrom="paragraph">
                    <wp:posOffset>2540</wp:posOffset>
                  </wp:positionV>
                  <wp:extent cx="847725" cy="368300"/>
                  <wp:effectExtent l="0" t="0" r="3175" b="0"/>
                  <wp:wrapNone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725" cy="368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513" w:type="dxa"/>
            <w:gridSpan w:val="4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1378" w:type="dxa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2022.3.11</w:t>
            </w:r>
            <w:bookmarkStart w:id="15" w:name="_GoBack"/>
            <w:bookmarkEnd w:id="15"/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3"/>
        <w:rFonts w:hint="default"/>
      </w:rPr>
    </w:pPr>
    <w:r>
      <w:rPr>
        <w:rStyle w:val="13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7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_x0000_s4097" o:spid="_x0000_s4097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3"/>
        <w:rFonts w:hint="default"/>
        <w:w w:val="90"/>
      </w:rPr>
      <w:t>Beijing International Standard united Certification Co.,Ltd.</w:t>
    </w:r>
  </w:p>
  <w:p>
    <w:pPr>
      <w:pStyle w:val="7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rsids>
    <w:rsidRoot w:val="00000000"/>
    <w:rsid w:val="047478B6"/>
    <w:rsid w:val="0DB578D0"/>
    <w:rsid w:val="115377F4"/>
    <w:rsid w:val="28EC7580"/>
    <w:rsid w:val="2AB003D9"/>
    <w:rsid w:val="5B735FC6"/>
    <w:rsid w:val="73127E5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ody Text"/>
    <w:basedOn w:val="1"/>
    <w:next w:val="4"/>
    <w:qFormat/>
    <w:uiPriority w:val="0"/>
    <w:pPr>
      <w:adjustRightInd w:val="0"/>
      <w:snapToGrid w:val="0"/>
      <w:spacing w:line="440" w:lineRule="atLeast"/>
    </w:pPr>
    <w:rPr>
      <w:snapToGrid w:val="0"/>
      <w:kern w:val="0"/>
      <w:sz w:val="24"/>
    </w:rPr>
  </w:style>
  <w:style w:type="paragraph" w:styleId="4">
    <w:name w:val="Subtitle"/>
    <w:basedOn w:val="1"/>
    <w:next w:val="1"/>
    <w:qFormat/>
    <w:locked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paragraph" w:styleId="5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脚 Char"/>
    <w:link w:val="6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眉 Char"/>
    <w:link w:val="7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批注框文本 Char"/>
    <w:link w:val="5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48</Words>
  <Characters>275</Characters>
  <Lines>2</Lines>
  <Paragraphs>1</Paragraphs>
  <TotalTime>1</TotalTime>
  <ScaleCrop>false</ScaleCrop>
  <LinksUpToDate>false</LinksUpToDate>
  <CharactersWithSpaces>322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叶子</cp:lastModifiedBy>
  <dcterms:modified xsi:type="dcterms:W3CDTF">2022-03-10T13:13:07Z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2052-11.1.0.11365</vt:lpwstr>
  </property>
</Properties>
</file>