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北京皮赛姆工程科技有限公司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Q:34.06.00,35.04.02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Q:34.06.00,35.04.02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szCs w:val="20"/>
                <w:lang w:val="en-US" w:eastAsia="zh-CN"/>
              </w:rPr>
              <w:t>业务洽谈—签订合同—收集资料—评价分析—编制报告—报告校核批准—打印存档—报告发送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关键过程及特殊过程：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主要控制要求：人员能力、人员培训、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手册、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SB/T 11222-2018《管理咨询服务规范》、T/CCPITCSC 003-2017《管理咨询服务规范》、T/CCPITCSC 011-2017《管理咨询服务合同规范》、T/CCPITCSC 024-2019《管理咨询服务产品的分类与代码》、T/CCPITCSC 025-2019《管理咨询服务对象的分类与代码》、DB44/T 1023-2012《企业管理咨询和培训机构资质等级评审规程》、GB/T 35320-2017《危险与可操作性分析（HAZOP分析） 应用指南》、GB 36894-2018《危险化学品生产装置和储存设施风险基准》、AQ/T 3049-2013《危险与可操作性分析（HAZOP分析）应用导则》、AQ/T 3033-2010《化工建设项目安全设计管理导则》、AQ/T 3034-2010《化工企业工艺安全管理实施导则》、T/CCSAS 001-2018《危险与可操作性分析质量控制与审查导则》等；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北京皮赛姆工程科技有限公司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:34.06.00,35.04.02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/>
                <w:b/>
                <w:sz w:val="20"/>
              </w:rPr>
              <w:t>:34.06.00,35.04.02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业务洽谈—签订合同—收集资料—评价分析—编制报告—报告校核批准—打印存档—报告发送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主要控制要求：人员能力、人员培训、服务手册、服务工具等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2022.3.1-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北京皮赛姆工程科技有限公司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:34.06.00,35.04.02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/>
                <w:b/>
                <w:sz w:val="20"/>
              </w:rPr>
              <w:t>:34.06.00,35.04.02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业务洽谈—签订合同—收集资料—评价分析—编制报告—报告校核批准—打印存档—报告发送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关键过程及特殊过程：服务过程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主要控制要求：人员能力、人员培训、服务手册、服务工具等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3"/>
            <w:bookmarkStart w:id="4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418"/>
            <w:bookmarkStart w:id="6" w:name="_Hlt202798385"/>
            <w:bookmarkStart w:id="7" w:name="_Hlt202798386"/>
            <w:bookmarkStart w:id="8" w:name="_Hlt202798419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7"/>
            <w:bookmarkStart w:id="12" w:name="_Hlt20280126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2"/>
            <w:bookmarkStart w:id="14" w:name="_Hlt202801121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  <w:bookmarkStart w:id="15" w:name="_GoBack"/>
            <w:bookmarkEnd w:id="1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7478B6"/>
    <w:rsid w:val="0D6025AF"/>
    <w:rsid w:val="0DB578D0"/>
    <w:rsid w:val="28EC7580"/>
    <w:rsid w:val="2AB003D9"/>
    <w:rsid w:val="5B735FC6"/>
    <w:rsid w:val="7312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2022-03-09T14:31:33Z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