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49"/>
        <w:gridCol w:w="299"/>
        <w:gridCol w:w="801"/>
        <w:gridCol w:w="615"/>
        <w:gridCol w:w="365"/>
        <w:gridCol w:w="725"/>
        <w:gridCol w:w="495"/>
        <w:gridCol w:w="100"/>
        <w:gridCol w:w="1101"/>
        <w:gridCol w:w="59"/>
        <w:gridCol w:w="197"/>
        <w:gridCol w:w="294"/>
        <w:gridCol w:w="680"/>
        <w:gridCol w:w="179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重庆荣福玻璃销售有限公司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重庆市永川区花桥乡箭滩村2幢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重庆市永川区花桥乡箭滩村2幢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刘朝旭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18385081074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bookmarkStart w:id="6" w:name="最高管理者"/>
            <w:bookmarkEnd w:id="6"/>
            <w:bookmarkStart w:id="7" w:name="法人"/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董建培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0289-2021-EO-2022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E：玻璃瓶的销售所涉及场所的相关环境管理活动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O：玻璃瓶的销售所涉及场所的相关职业健康安全管理活动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E：29.08.04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O：29.08.04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2022年03月04日 上午至2022年03月05日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O:29.08.04</w:t>
            </w:r>
          </w:p>
        </w:tc>
        <w:tc>
          <w:tcPr>
            <w:tcW w:w="140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5"/>
            <w:vAlign w:val="center"/>
          </w:tcPr>
          <w:p/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/>
        </w:tc>
        <w:tc>
          <w:tcPr>
            <w:tcW w:w="1409" w:type="dxa"/>
            <w:gridSpan w:val="5"/>
            <w:vAlign w:val="center"/>
          </w:tcPr>
          <w:p/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60325</wp:posOffset>
                  </wp:positionV>
                  <wp:extent cx="672465" cy="339090"/>
                  <wp:effectExtent l="0" t="0" r="635" b="3810"/>
                  <wp:wrapNone/>
                  <wp:docPr id="1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0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26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2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日期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2022年03月0</w:t>
            </w:r>
            <w:r>
              <w:rPr>
                <w:rFonts w:hint="eastAsia" w:cs="Times New Roman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日期</w:t>
            </w:r>
          </w:p>
        </w:tc>
        <w:tc>
          <w:tcPr>
            <w:tcW w:w="2200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2022年03月0</w:t>
            </w:r>
            <w:r>
              <w:rPr>
                <w:rFonts w:hint="eastAsia" w:cs="Times New Roman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日期</w:t>
            </w:r>
          </w:p>
        </w:tc>
        <w:tc>
          <w:tcPr>
            <w:tcW w:w="2620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2022年03月0</w:t>
            </w:r>
            <w:r>
              <w:rPr>
                <w:rFonts w:hint="eastAsia" w:cs="Times New Roman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</w:tr>
    </w:tbl>
    <w:p/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60"/>
        <w:gridCol w:w="1160"/>
        <w:gridCol w:w="618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3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3" w:hRule="atLeast"/>
          <w:jc w:val="center"/>
        </w:trPr>
        <w:tc>
          <w:tcPr>
            <w:tcW w:w="5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午餐时间12:00-13:00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618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上次不符合验证。</w:t>
            </w:r>
          </w:p>
        </w:tc>
        <w:tc>
          <w:tcPr>
            <w:tcW w:w="10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5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618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5.3组织的角色、职责和权限；6.1.2环境因素；6.1.3合规义务；6.2目标及其达成的策划；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7.2能力（上次不符合验证）；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8.1运行策划和控制；8.2应急准备和响应；9.1监视、测量、分析与评估；9.1.2符合性评估；9.2内部审核</w:t>
            </w:r>
            <w:bookmarkStart w:id="34" w:name="_GoBack"/>
            <w:bookmarkEnd w:id="34"/>
            <w:r>
              <w:rPr>
                <w:rFonts w:hint="eastAsia" w:ascii="宋体" w:hAnsi="宋体" w:eastAsia="宋体" w:cs="新宋体"/>
                <w:sz w:val="18"/>
                <w:szCs w:val="18"/>
              </w:rPr>
              <w:t>；10.2不符合和纠正措施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7.2能力（上次不符合验证）；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8.1运行策划和控制；8.2应急准备和响应；9.1监视、测量、分析和评价；9.1.2法律法规要求和其他要求的合规性评价；9.2内部审核；10.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事件、不符合和纠正措施/OHSMS运行控制财务支出证据。</w:t>
            </w:r>
          </w:p>
        </w:tc>
        <w:tc>
          <w:tcPr>
            <w:tcW w:w="100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5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午餐时间12:00-13:00</w:t>
            </w:r>
          </w:p>
        </w:tc>
        <w:tc>
          <w:tcPr>
            <w:tcW w:w="1160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18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6.1.2环境因素；7.4沟通；8.1运行策划和控制；8.2应急准备和响应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5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技质部</w:t>
            </w:r>
          </w:p>
        </w:tc>
        <w:tc>
          <w:tcPr>
            <w:tcW w:w="618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34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审核组内部沟通,并与受审核方沟通</w:t>
            </w:r>
          </w:p>
        </w:tc>
        <w:tc>
          <w:tcPr>
            <w:tcW w:w="10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34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0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8555E"/>
    <w:rsid w:val="3A8F7F7F"/>
    <w:rsid w:val="3B1A31AB"/>
    <w:rsid w:val="3C0149A1"/>
    <w:rsid w:val="458539AC"/>
    <w:rsid w:val="49C812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2022-03-04T01:59:22Z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